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F80A24">
      <w:pPr>
        <w:pStyle w:val="Title"/>
        <w:rPr>
          <w:rFonts w:ascii="Arial" w:hAnsi="Arial" w:cs="Arial"/>
          <w:b/>
          <w:smallCaps/>
          <w:sz w:val="28"/>
          <w:szCs w:val="24"/>
        </w:rPr>
      </w:pPr>
      <w:r w:rsidRPr="004C10D9">
        <w:rPr>
          <w:rFonts w:ascii="Arial" w:hAnsi="Arial" w:cs="Arial"/>
          <w:b/>
          <w:smallCaps/>
          <w:noProof/>
          <w:sz w:val="28"/>
          <w:szCs w:val="24"/>
        </w:rPr>
        <w:drawing>
          <wp:inline distT="0" distB="0" distL="0" distR="0">
            <wp:extent cx="1819275" cy="909638"/>
            <wp:effectExtent l="0" t="0" r="0" b="0"/>
            <wp:docPr id="2" name="Picture 2" descr="C:\Users\reberj\Desktop\Stifel Logos\ICBA Securities_Stifel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56609" name="Picture 1" descr="C:\Users\reberj\Desktop\Stifel Logos\ICBA Securities_Stifel_clr.pn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1922" cy="910961"/>
                    </a:xfrm>
                    <a:prstGeom prst="rect">
                      <a:avLst/>
                    </a:prstGeom>
                    <a:noFill/>
                    <a:ln>
                      <a:noFill/>
                    </a:ln>
                  </pic:spPr>
                </pic:pic>
              </a:graphicData>
            </a:graphic>
          </wp:inline>
        </w:drawing>
      </w:r>
    </w:p>
    <w:p w:rsidR="00F80A24">
      <w:pPr>
        <w:pStyle w:val="Title"/>
        <w:rPr>
          <w:rFonts w:ascii="Arial" w:hAnsi="Arial" w:cs="Arial"/>
          <w:b/>
          <w:smallCaps/>
          <w:sz w:val="28"/>
          <w:szCs w:val="24"/>
        </w:rPr>
      </w:pPr>
    </w:p>
    <w:p w:rsidR="000F358E" w:rsidRPr="00C11675">
      <w:pPr>
        <w:pStyle w:val="Title"/>
        <w:rPr>
          <w:rFonts w:ascii="Arial" w:hAnsi="Arial" w:cs="Arial"/>
          <w:b/>
          <w:smallCaps/>
          <w:sz w:val="28"/>
          <w:szCs w:val="24"/>
        </w:rPr>
      </w:pPr>
      <w:r w:rsidRPr="00C11675">
        <w:rPr>
          <w:rFonts w:ascii="Arial" w:hAnsi="Arial" w:cs="Arial"/>
          <w:b/>
          <w:smallCaps/>
          <w:sz w:val="28"/>
          <w:szCs w:val="24"/>
        </w:rPr>
        <w:t>Sample Investment Policy</w:t>
      </w:r>
    </w:p>
    <w:p w:rsidR="000F358E" w:rsidRPr="00C11675">
      <w:pPr>
        <w:jc w:val="center"/>
        <w:rPr>
          <w:rFonts w:ascii="Arial" w:hAnsi="Arial" w:cs="Arial"/>
          <w:sz w:val="28"/>
          <w:szCs w:val="24"/>
        </w:rPr>
      </w:pPr>
      <w:r w:rsidRPr="00C11675">
        <w:rPr>
          <w:rFonts w:ascii="Arial" w:hAnsi="Arial" w:cs="Arial"/>
          <w:sz w:val="28"/>
          <w:szCs w:val="24"/>
        </w:rPr>
        <w:t>For Banks</w:t>
      </w:r>
    </w:p>
    <w:p w:rsidR="000F358E" w:rsidRPr="00C11675">
      <w:pPr>
        <w:pStyle w:val="Heading1"/>
        <w:ind w:hanging="360"/>
        <w:rPr>
          <w:rFonts w:ascii="Arial" w:hAnsi="Arial" w:cs="Arial"/>
          <w:b w:val="0"/>
          <w:sz w:val="22"/>
          <w:szCs w:val="24"/>
        </w:rPr>
      </w:pPr>
      <w:r w:rsidRPr="00C11675">
        <w:rPr>
          <w:rFonts w:ascii="Arial" w:hAnsi="Arial" w:cs="Arial"/>
          <w:b w:val="0"/>
          <w:sz w:val="22"/>
          <w:szCs w:val="24"/>
        </w:rPr>
        <w:t>I. Purpose</w:t>
      </w:r>
    </w:p>
    <w:p w:rsidR="000F358E" w:rsidRPr="00C11675">
      <w:pPr>
        <w:jc w:val="both"/>
        <w:rPr>
          <w:rFonts w:ascii="Arial" w:hAnsi="Arial" w:cs="Arial"/>
          <w:sz w:val="22"/>
          <w:szCs w:val="24"/>
        </w:rPr>
      </w:pPr>
      <w:r w:rsidRPr="00C11675">
        <w:rPr>
          <w:rFonts w:ascii="Arial" w:hAnsi="Arial" w:cs="Arial"/>
          <w:sz w:val="22"/>
          <w:szCs w:val="24"/>
        </w:rPr>
        <w:t xml:space="preserve">The investment securities portfolio shall be managed to maximize portfolio yield over the long term in a manner that is consistent with liquidity needs, pledging requirements, asset/liability strategies, and safety/soundness concerns. The purpose of this policy statement is to outline the institution’s practices for managing the risks of investment securities and end-user derivatives activities. The fundamental elements of our risk management program include board and senior management oversight and a comprehensive risk management process that effectively identifies, measures, monitors, and controls risk. These risks include, but are not necessarily limited to market risk, credit risk, liquidity risk, operational risk and legal risk. Both the board and management believe that effective management of the risks associated with securities and derivative instruments represents an essential component of safe and sound practices. </w:t>
      </w:r>
    </w:p>
    <w:p w:rsidR="000F358E" w:rsidRPr="00C11675">
      <w:pPr>
        <w:rPr>
          <w:rFonts w:ascii="Arial" w:hAnsi="Arial" w:cs="Arial"/>
          <w:sz w:val="22"/>
          <w:szCs w:val="24"/>
        </w:rPr>
      </w:pPr>
    </w:p>
    <w:p w:rsidR="000F358E" w:rsidRPr="00C11675">
      <w:pPr>
        <w:pStyle w:val="Heading1"/>
        <w:ind w:hanging="360"/>
        <w:rPr>
          <w:rFonts w:ascii="Arial" w:hAnsi="Arial" w:cs="Arial"/>
          <w:b w:val="0"/>
          <w:sz w:val="22"/>
          <w:szCs w:val="24"/>
        </w:rPr>
      </w:pPr>
      <w:r w:rsidRPr="00C11675">
        <w:rPr>
          <w:rFonts w:ascii="Arial" w:hAnsi="Arial" w:cs="Arial"/>
          <w:b w:val="0"/>
          <w:sz w:val="22"/>
          <w:szCs w:val="24"/>
        </w:rPr>
        <w:t>II. Scope</w:t>
      </w:r>
    </w:p>
    <w:p w:rsidR="00E404A4" w:rsidRPr="00C11675">
      <w:pPr>
        <w:jc w:val="both"/>
        <w:rPr>
          <w:rFonts w:ascii="Arial" w:hAnsi="Arial" w:cs="Arial"/>
          <w:sz w:val="22"/>
          <w:szCs w:val="24"/>
        </w:rPr>
      </w:pPr>
      <w:r w:rsidRPr="00C11675">
        <w:rPr>
          <w:rFonts w:ascii="Arial" w:hAnsi="Arial" w:cs="Arial"/>
          <w:sz w:val="22"/>
          <w:szCs w:val="24"/>
        </w:rPr>
        <w:t xml:space="preserve">This policy statement applies to all securities in </w:t>
      </w:r>
      <w:r w:rsidRPr="00C11675" w:rsidR="00B63E22">
        <w:rPr>
          <w:rFonts w:ascii="Arial" w:hAnsi="Arial" w:cs="Arial"/>
          <w:i/>
          <w:sz w:val="22"/>
          <w:szCs w:val="24"/>
        </w:rPr>
        <w:t>H</w:t>
      </w:r>
      <w:r w:rsidRPr="00C11675">
        <w:rPr>
          <w:rFonts w:ascii="Arial" w:hAnsi="Arial" w:cs="Arial"/>
          <w:i/>
          <w:sz w:val="22"/>
          <w:szCs w:val="24"/>
        </w:rPr>
        <w:t>eld-to-maturit</w:t>
      </w:r>
      <w:r w:rsidRPr="00C11675" w:rsidR="00B24252">
        <w:rPr>
          <w:rFonts w:ascii="Arial" w:hAnsi="Arial" w:cs="Arial"/>
          <w:i/>
          <w:sz w:val="22"/>
          <w:szCs w:val="24"/>
        </w:rPr>
        <w:t xml:space="preserve">y, </w:t>
      </w:r>
      <w:r w:rsidRPr="00C11675" w:rsidR="00B63E22">
        <w:rPr>
          <w:rFonts w:ascii="Arial" w:hAnsi="Arial" w:cs="Arial"/>
          <w:i/>
          <w:sz w:val="22"/>
          <w:szCs w:val="24"/>
        </w:rPr>
        <w:t>T</w:t>
      </w:r>
      <w:r w:rsidRPr="00C11675" w:rsidR="00B24252">
        <w:rPr>
          <w:rFonts w:ascii="Arial" w:hAnsi="Arial" w:cs="Arial"/>
          <w:i/>
          <w:sz w:val="22"/>
          <w:szCs w:val="24"/>
        </w:rPr>
        <w:t>rading</w:t>
      </w:r>
      <w:r w:rsidRPr="00C11675">
        <w:rPr>
          <w:rFonts w:ascii="Arial" w:hAnsi="Arial" w:cs="Arial"/>
          <w:sz w:val="22"/>
          <w:szCs w:val="24"/>
        </w:rPr>
        <w:t xml:space="preserve"> and </w:t>
      </w:r>
      <w:r w:rsidRPr="00C11675" w:rsidR="00B63E22">
        <w:rPr>
          <w:rFonts w:ascii="Arial" w:hAnsi="Arial" w:cs="Arial"/>
          <w:i/>
          <w:sz w:val="22"/>
          <w:szCs w:val="24"/>
        </w:rPr>
        <w:t>Available-for-sale</w:t>
      </w:r>
      <w:r w:rsidRPr="00C11675">
        <w:rPr>
          <w:rFonts w:ascii="Arial" w:hAnsi="Arial" w:cs="Arial"/>
          <w:sz w:val="22"/>
          <w:szCs w:val="24"/>
        </w:rPr>
        <w:t xml:space="preserve"> accounts as defined in the</w:t>
      </w:r>
      <w:r w:rsidR="004A0672">
        <w:rPr>
          <w:rFonts w:ascii="Arial" w:hAnsi="Arial" w:cs="Arial"/>
          <w:sz w:val="22"/>
          <w:szCs w:val="24"/>
        </w:rPr>
        <w:t xml:space="preserve"> FASB Accounting Standards Codification (ASC) 320 Investments – Debt and Equity Securities,</w:t>
      </w:r>
      <w:r w:rsidRPr="00C11675">
        <w:rPr>
          <w:rFonts w:ascii="Arial" w:hAnsi="Arial" w:cs="Arial"/>
          <w:sz w:val="22"/>
          <w:szCs w:val="24"/>
        </w:rPr>
        <w:t xml:space="preserve"> certificates of deposit held for investment purposes, and end-user derivative contracts not held in </w:t>
      </w:r>
      <w:r w:rsidRPr="00C11675" w:rsidR="00B63E22">
        <w:rPr>
          <w:rFonts w:ascii="Arial" w:hAnsi="Arial" w:cs="Arial"/>
          <w:sz w:val="22"/>
          <w:szCs w:val="24"/>
        </w:rPr>
        <w:t>Trading</w:t>
      </w:r>
      <w:r w:rsidRPr="00C11675">
        <w:rPr>
          <w:rFonts w:ascii="Arial" w:hAnsi="Arial" w:cs="Arial"/>
          <w:sz w:val="22"/>
          <w:szCs w:val="24"/>
        </w:rPr>
        <w:t xml:space="preserve"> accounts. This policy statement covers all securities used for invest</w:t>
      </w:r>
      <w:r w:rsidRPr="00C11675" w:rsidR="00E21AE7">
        <w:rPr>
          <w:rFonts w:ascii="Arial" w:hAnsi="Arial" w:cs="Arial"/>
          <w:sz w:val="22"/>
          <w:szCs w:val="24"/>
        </w:rPr>
        <w:t>ment purposes, including money-</w:t>
      </w:r>
      <w:r w:rsidRPr="00C11675">
        <w:rPr>
          <w:rFonts w:ascii="Arial" w:hAnsi="Arial" w:cs="Arial"/>
          <w:sz w:val="22"/>
          <w:szCs w:val="24"/>
        </w:rPr>
        <w:t xml:space="preserve">market instruments, fixed-rate and floating-rate notes and bonds, structured notes, mortgage pass-through and other asset-backed securities, and mortgage-derivative products. Similarly, this guidance covers all end-user derivative instruments used for non-trading purposes, such as swaps, futures, and options. </w:t>
      </w:r>
    </w:p>
    <w:p w:rsidR="00E404A4" w:rsidRPr="00C11675">
      <w:pPr>
        <w:jc w:val="both"/>
        <w:rPr>
          <w:rFonts w:ascii="Arial" w:hAnsi="Arial" w:cs="Arial"/>
          <w:sz w:val="22"/>
          <w:szCs w:val="24"/>
        </w:rPr>
      </w:pPr>
    </w:p>
    <w:p w:rsidR="00E404A4" w:rsidRPr="00C11675">
      <w:pPr>
        <w:jc w:val="both"/>
        <w:rPr>
          <w:rFonts w:ascii="Arial" w:hAnsi="Arial" w:cs="Arial"/>
          <w:sz w:val="22"/>
          <w:szCs w:val="24"/>
        </w:rPr>
      </w:pPr>
      <w:r w:rsidRPr="00C11675">
        <w:rPr>
          <w:rFonts w:ascii="Arial" w:hAnsi="Arial" w:cs="Arial"/>
          <w:sz w:val="22"/>
          <w:szCs w:val="24"/>
        </w:rPr>
        <w:t xml:space="preserve">Securities carried in </w:t>
      </w:r>
      <w:r w:rsidRPr="00C11675" w:rsidR="00B63E22">
        <w:rPr>
          <w:rFonts w:ascii="Arial" w:hAnsi="Arial" w:cs="Arial"/>
          <w:sz w:val="22"/>
          <w:szCs w:val="24"/>
        </w:rPr>
        <w:t>Trading</w:t>
      </w:r>
      <w:r w:rsidRPr="00C11675">
        <w:rPr>
          <w:rFonts w:ascii="Arial" w:hAnsi="Arial" w:cs="Arial"/>
          <w:sz w:val="22"/>
          <w:szCs w:val="24"/>
        </w:rPr>
        <w:t xml:space="preserve"> accounts for accounting purposes may or may not be securities which will be actively traded. Securities in </w:t>
      </w:r>
      <w:r w:rsidRPr="00C11675" w:rsidR="00B63E22">
        <w:rPr>
          <w:rFonts w:ascii="Arial" w:hAnsi="Arial" w:cs="Arial"/>
          <w:sz w:val="22"/>
          <w:szCs w:val="24"/>
        </w:rPr>
        <w:t>Trading</w:t>
      </w:r>
      <w:r w:rsidRPr="00C11675">
        <w:rPr>
          <w:rFonts w:ascii="Arial" w:hAnsi="Arial" w:cs="Arial"/>
          <w:sz w:val="22"/>
          <w:szCs w:val="24"/>
        </w:rPr>
        <w:t xml:space="preserve"> are those which are being carried at Fair Value, </w:t>
      </w:r>
      <w:r w:rsidRPr="00C11675" w:rsidR="00B63E22">
        <w:rPr>
          <w:rFonts w:ascii="Arial" w:hAnsi="Arial" w:cs="Arial"/>
          <w:sz w:val="22"/>
          <w:szCs w:val="24"/>
        </w:rPr>
        <w:t xml:space="preserve">as a result of an election in accordance with </w:t>
      </w:r>
      <w:r w:rsidR="004A0672">
        <w:rPr>
          <w:rFonts w:ascii="Arial" w:hAnsi="Arial" w:cs="Arial"/>
          <w:sz w:val="22"/>
          <w:szCs w:val="24"/>
        </w:rPr>
        <w:t xml:space="preserve">ASC 825 – Financial Instruments </w:t>
      </w:r>
      <w:r w:rsidRPr="00C11675" w:rsidR="00B63E22">
        <w:rPr>
          <w:rFonts w:ascii="Arial" w:hAnsi="Arial" w:cs="Arial"/>
          <w:sz w:val="22"/>
          <w:szCs w:val="24"/>
        </w:rPr>
        <w:t xml:space="preserve">or another applicable accounting standard. In addition to falling under this Investment Policy, securities carried in Trading are subject to the stress-testing requirements set forth in the </w:t>
      </w:r>
      <w:r w:rsidRPr="00C11675" w:rsidR="0005741E">
        <w:rPr>
          <w:rFonts w:ascii="Arial" w:hAnsi="Arial" w:cs="Arial"/>
          <w:sz w:val="22"/>
          <w:szCs w:val="24"/>
        </w:rPr>
        <w:t>Interest Rate Risk &amp; Asset Liability Policy</w:t>
      </w:r>
      <w:r w:rsidRPr="00C11675" w:rsidR="00B63E22">
        <w:rPr>
          <w:rFonts w:ascii="Arial" w:hAnsi="Arial" w:cs="Arial"/>
          <w:sz w:val="22"/>
          <w:szCs w:val="24"/>
        </w:rPr>
        <w:t>.</w:t>
      </w:r>
    </w:p>
    <w:p w:rsidR="000F358E" w:rsidRPr="00C11675">
      <w:pPr>
        <w:rPr>
          <w:rFonts w:ascii="Arial" w:hAnsi="Arial" w:cs="Arial"/>
          <w:sz w:val="22"/>
          <w:szCs w:val="24"/>
        </w:rPr>
      </w:pPr>
    </w:p>
    <w:p w:rsidR="000F358E" w:rsidRPr="00C11675">
      <w:pPr>
        <w:pStyle w:val="Heading1"/>
        <w:ind w:hanging="360"/>
        <w:rPr>
          <w:rFonts w:ascii="Arial" w:hAnsi="Arial" w:cs="Arial"/>
          <w:b w:val="0"/>
          <w:sz w:val="22"/>
          <w:szCs w:val="24"/>
        </w:rPr>
      </w:pPr>
      <w:r w:rsidRPr="00C11675">
        <w:rPr>
          <w:rFonts w:ascii="Arial" w:hAnsi="Arial" w:cs="Arial"/>
          <w:b w:val="0"/>
          <w:sz w:val="22"/>
          <w:szCs w:val="24"/>
        </w:rPr>
        <w:t>III. Board and Senior Management Oversight</w:t>
      </w:r>
    </w:p>
    <w:p w:rsidR="000F358E" w:rsidRPr="00C11675">
      <w:pPr>
        <w:jc w:val="both"/>
        <w:rPr>
          <w:rFonts w:ascii="Arial" w:hAnsi="Arial" w:cs="Arial"/>
          <w:sz w:val="22"/>
          <w:szCs w:val="24"/>
        </w:rPr>
      </w:pPr>
      <w:r w:rsidRPr="00C11675">
        <w:rPr>
          <w:rFonts w:ascii="Arial" w:hAnsi="Arial" w:cs="Arial"/>
          <w:sz w:val="22"/>
          <w:szCs w:val="24"/>
        </w:rPr>
        <w:t xml:space="preserve">The board will review, update, and approve the investment policy at least annually. At least quarterly, the board will review the Investment Activities Reporting Package </w:t>
      </w:r>
      <w:r w:rsidRPr="00C11675">
        <w:rPr>
          <w:rFonts w:ascii="Arial" w:hAnsi="Arial" w:cs="Arial"/>
          <w:i/>
          <w:sz w:val="22"/>
          <w:szCs w:val="24"/>
        </w:rPr>
        <w:t>[attach sample]</w:t>
      </w:r>
      <w:r w:rsidRPr="00C11675">
        <w:rPr>
          <w:rFonts w:ascii="Arial" w:hAnsi="Arial" w:cs="Arial"/>
          <w:sz w:val="22"/>
          <w:szCs w:val="24"/>
        </w:rPr>
        <w:t xml:space="preserve"> to discharge its responsibility to review portfolio activity, risk levels, and compliance with risk limits.</w:t>
      </w:r>
    </w:p>
    <w:p w:rsidR="000F358E" w:rsidRPr="00C11675">
      <w:pPr>
        <w:rPr>
          <w:rFonts w:ascii="Arial" w:hAnsi="Arial" w:cs="Arial"/>
          <w:sz w:val="22"/>
          <w:szCs w:val="24"/>
        </w:rPr>
      </w:pPr>
    </w:p>
    <w:p w:rsidR="000F358E" w:rsidRPr="00C11675">
      <w:pPr>
        <w:pStyle w:val="BodyText21"/>
        <w:rPr>
          <w:rFonts w:ascii="Arial" w:hAnsi="Arial" w:cs="Arial"/>
          <w:sz w:val="22"/>
          <w:szCs w:val="24"/>
        </w:rPr>
      </w:pPr>
      <w:r w:rsidRPr="00C11675">
        <w:rPr>
          <w:rFonts w:ascii="Arial" w:hAnsi="Arial" w:cs="Arial"/>
          <w:sz w:val="22"/>
          <w:szCs w:val="24"/>
        </w:rPr>
        <w:t>Management is responsible for complying with the guidance and risk limits set forth in this policy statement. Inasmuch as the benefits outweigh the risk of loss, management will ensure back-office, settlement, and transaction reconciliation responsibilities are conducted and managed by personnel who are independent of those initiating risk-taking positions.</w:t>
      </w:r>
    </w:p>
    <w:p w:rsidR="000F358E" w:rsidRPr="00C11675">
      <w:pPr>
        <w:jc w:val="both"/>
        <w:rPr>
          <w:rFonts w:ascii="Arial" w:hAnsi="Arial" w:cs="Arial"/>
          <w:sz w:val="22"/>
          <w:szCs w:val="24"/>
        </w:rPr>
      </w:pPr>
    </w:p>
    <w:p w:rsidR="000F358E" w:rsidRPr="00C11675">
      <w:pPr>
        <w:pStyle w:val="Heading4"/>
        <w:rPr>
          <w:rFonts w:ascii="Arial" w:hAnsi="Arial" w:cs="Arial"/>
          <w:b w:val="0"/>
          <w:sz w:val="22"/>
          <w:szCs w:val="24"/>
        </w:rPr>
      </w:pPr>
      <w:r w:rsidRPr="00C11675">
        <w:rPr>
          <w:rFonts w:ascii="Arial" w:hAnsi="Arial" w:cs="Arial"/>
          <w:b w:val="0"/>
          <w:sz w:val="22"/>
          <w:szCs w:val="24"/>
        </w:rPr>
        <w:t>IV. Risk Management Process</w:t>
      </w:r>
    </w:p>
    <w:p w:rsidR="000F358E" w:rsidRPr="00C11675">
      <w:pPr>
        <w:pStyle w:val="BodyText21"/>
        <w:rPr>
          <w:rFonts w:ascii="Arial" w:hAnsi="Arial" w:cs="Arial"/>
          <w:sz w:val="22"/>
          <w:szCs w:val="24"/>
        </w:rPr>
      </w:pPr>
      <w:r w:rsidRPr="00C11675">
        <w:rPr>
          <w:rFonts w:ascii="Arial" w:hAnsi="Arial" w:cs="Arial"/>
          <w:sz w:val="22"/>
          <w:szCs w:val="24"/>
        </w:rPr>
        <w:t>The institution’s risk management process for investment activities includes a series of policies, procedures, and limits; a system for the identification, measurement, and reporting of risk exposures; and a system of internal controls.</w:t>
      </w:r>
    </w:p>
    <w:p w:rsidR="000F358E" w:rsidRPr="00C11675">
      <w:pPr>
        <w:jc w:val="both"/>
        <w:rPr>
          <w:rFonts w:ascii="Arial" w:hAnsi="Arial" w:cs="Arial"/>
          <w:sz w:val="22"/>
          <w:szCs w:val="24"/>
        </w:rPr>
      </w:pPr>
    </w:p>
    <w:p w:rsidR="000F358E" w:rsidRPr="00C11675">
      <w:pPr>
        <w:pStyle w:val="Heading1"/>
        <w:rPr>
          <w:rFonts w:ascii="Arial" w:hAnsi="Arial" w:cs="Arial"/>
          <w:b w:val="0"/>
          <w:smallCaps w:val="0"/>
          <w:sz w:val="22"/>
          <w:szCs w:val="24"/>
        </w:rPr>
      </w:pPr>
      <w:r w:rsidRPr="00C11675">
        <w:rPr>
          <w:rFonts w:ascii="Arial" w:hAnsi="Arial" w:cs="Arial"/>
          <w:b w:val="0"/>
          <w:smallCaps w:val="0"/>
          <w:sz w:val="22"/>
          <w:szCs w:val="24"/>
        </w:rPr>
        <w:t>A. Policies, Procedures, and Limits</w:t>
      </w:r>
    </w:p>
    <w:p w:rsidR="000F358E" w:rsidRPr="00C11675" w:rsidP="00E21AE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z w:val="22"/>
          <w:szCs w:val="24"/>
        </w:rPr>
      </w:pPr>
      <w:r w:rsidRPr="00C11675">
        <w:rPr>
          <w:rFonts w:ascii="Arial" w:hAnsi="Arial" w:cs="Arial"/>
          <w:sz w:val="22"/>
          <w:szCs w:val="24"/>
        </w:rPr>
        <w:t xml:space="preserve">The policies described herein are based upon our investment objectives which include the </w:t>
      </w:r>
      <w:r w:rsidRPr="00C11675" w:rsidR="00E21AE7">
        <w:rPr>
          <w:rFonts w:ascii="Arial" w:hAnsi="Arial" w:cs="Arial"/>
          <w:sz w:val="22"/>
          <w:szCs w:val="24"/>
        </w:rPr>
        <w:t xml:space="preserve">following </w:t>
      </w:r>
      <w:r w:rsidRPr="00C11675">
        <w:rPr>
          <w:rFonts w:ascii="Arial" w:hAnsi="Arial" w:cs="Arial"/>
          <w:sz w:val="22"/>
          <w:szCs w:val="24"/>
        </w:rPr>
        <w:t>desire</w:t>
      </w:r>
      <w:r w:rsidRPr="00C11675" w:rsidR="00E21AE7">
        <w:rPr>
          <w:rFonts w:ascii="Arial" w:hAnsi="Arial" w:cs="Arial"/>
          <w:sz w:val="22"/>
          <w:szCs w:val="24"/>
        </w:rPr>
        <w:t>s</w:t>
      </w:r>
      <w:r w:rsidRPr="00C11675">
        <w:rPr>
          <w:rFonts w:ascii="Arial" w:hAnsi="Arial" w:cs="Arial"/>
          <w:sz w:val="22"/>
          <w:szCs w:val="24"/>
        </w:rPr>
        <w:t>:</w:t>
      </w:r>
    </w:p>
    <w:p w:rsidR="000F358E">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ensure adequate liquidity for loan demand, deposit fluctuations, and other changes in balance sheet mix;</w:t>
      </w:r>
    </w:p>
    <w:p w:rsidR="006B1BCE" w:rsidRPr="00C11675">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Pr>
          <w:rFonts w:ascii="Arial" w:hAnsi="Arial" w:cs="Arial"/>
          <w:sz w:val="22"/>
          <w:szCs w:val="24"/>
        </w:rPr>
        <w:t>manage credit risk;</w:t>
      </w:r>
    </w:p>
    <w:p w:rsidR="000F358E" w:rsidRPr="00C11675">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manage interest rate risk (see separate policy statement);</w:t>
      </w:r>
    </w:p>
    <w:p w:rsidR="000F358E" w:rsidRPr="00C11675">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maximize the institution's overall return;</w:t>
      </w:r>
      <w:r w:rsidRPr="00C11675">
        <w:rPr>
          <w:rFonts w:ascii="Arial" w:hAnsi="Arial" w:cs="Arial"/>
          <w:sz w:val="22"/>
          <w:szCs w:val="24"/>
        </w:rPr>
        <w:tab/>
      </w:r>
    </w:p>
    <w:p w:rsidR="000F358E" w:rsidRPr="00C11675">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ensure collateral is available for pledging; and</w:t>
      </w:r>
    </w:p>
    <w:p w:rsidR="000F358E" w:rsidRPr="00C11675">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manage asset-quality diversification of the institution's assets.</w:t>
      </w:r>
    </w:p>
    <w:p w:rsidR="000F358E" w:rsidRPr="00C11675">
      <w:pPr>
        <w:numPr>
          <w:ilvl w:val="12"/>
          <w:numId w:val="0"/>
        </w:numPr>
        <w:tabs>
          <w:tab w:val="left" w:pos="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p>
    <w:p w:rsidR="000F358E" w:rsidRPr="00C11675">
      <w:pPr>
        <w:pStyle w:val="BodyText21"/>
        <w:numPr>
          <w:ilvl w:val="12"/>
          <w:numId w:val="0"/>
        </w:numPr>
        <w:rPr>
          <w:rFonts w:ascii="Arial" w:hAnsi="Arial" w:cs="Arial"/>
          <w:sz w:val="22"/>
          <w:szCs w:val="24"/>
        </w:rPr>
      </w:pPr>
      <w:r w:rsidRPr="00C11675">
        <w:rPr>
          <w:rFonts w:ascii="Arial" w:hAnsi="Arial" w:cs="Arial"/>
          <w:sz w:val="22"/>
          <w:szCs w:val="24"/>
        </w:rPr>
        <w:t>From time to time, we may participate in an investment activity/transaction to mitigate a risk exposure, to take a risk position, or to otherwise modify risk profiles. Any such</w:t>
      </w:r>
      <w:r w:rsidRPr="00C11675" w:rsidR="00E21AE7">
        <w:rPr>
          <w:rFonts w:ascii="Arial" w:hAnsi="Arial" w:cs="Arial"/>
          <w:sz w:val="22"/>
          <w:szCs w:val="24"/>
        </w:rPr>
        <w:t>,</w:t>
      </w:r>
      <w:r w:rsidRPr="00C11675">
        <w:rPr>
          <w:rFonts w:ascii="Arial" w:hAnsi="Arial" w:cs="Arial"/>
          <w:sz w:val="22"/>
          <w:szCs w:val="24"/>
        </w:rPr>
        <w:t xml:space="preserve"> activity that falls outside the limits set forth in our interest rate risk policy statement</w:t>
      </w:r>
      <w:r w:rsidRPr="00C11675" w:rsidR="00E21AE7">
        <w:rPr>
          <w:rFonts w:ascii="Arial" w:hAnsi="Arial" w:cs="Arial"/>
          <w:sz w:val="22"/>
          <w:szCs w:val="24"/>
        </w:rPr>
        <w:t>,</w:t>
      </w:r>
      <w:r w:rsidRPr="00C11675">
        <w:rPr>
          <w:rFonts w:ascii="Arial" w:hAnsi="Arial" w:cs="Arial"/>
          <w:sz w:val="22"/>
          <w:szCs w:val="24"/>
        </w:rPr>
        <w:t xml:space="preserve"> or other risk management policy statements</w:t>
      </w:r>
      <w:r w:rsidRPr="00C11675" w:rsidR="00E21AE7">
        <w:rPr>
          <w:rFonts w:ascii="Arial" w:hAnsi="Arial" w:cs="Arial"/>
          <w:sz w:val="22"/>
          <w:szCs w:val="24"/>
        </w:rPr>
        <w:t>,</w:t>
      </w:r>
      <w:r w:rsidRPr="00C11675">
        <w:rPr>
          <w:rFonts w:ascii="Arial" w:hAnsi="Arial" w:cs="Arial"/>
          <w:sz w:val="22"/>
          <w:szCs w:val="24"/>
        </w:rPr>
        <w:t xml:space="preserve"> must be approved by the board of directors or an appropriate committee of the board.</w:t>
      </w:r>
    </w:p>
    <w:p w:rsidR="000F358E" w:rsidRPr="00C11675">
      <w:pPr>
        <w:numPr>
          <w:ilvl w:val="12"/>
          <w:numId w:val="0"/>
        </w:numPr>
        <w:jc w:val="both"/>
        <w:rPr>
          <w:rFonts w:ascii="Arial" w:hAnsi="Arial" w:cs="Arial"/>
          <w:sz w:val="22"/>
          <w:szCs w:val="24"/>
        </w:rPr>
      </w:pPr>
    </w:p>
    <w:p w:rsidR="000F358E" w:rsidRPr="00C11675">
      <w:pPr>
        <w:numPr>
          <w:ilvl w:val="12"/>
          <w:numId w:val="0"/>
        </w:numPr>
        <w:jc w:val="both"/>
        <w:rPr>
          <w:rFonts w:ascii="Arial" w:hAnsi="Arial" w:cs="Arial"/>
          <w:i/>
          <w:sz w:val="22"/>
          <w:szCs w:val="24"/>
        </w:rPr>
      </w:pPr>
      <w:r w:rsidRPr="00C11675">
        <w:rPr>
          <w:rFonts w:ascii="Arial" w:hAnsi="Arial" w:cs="Arial"/>
          <w:sz w:val="22"/>
          <w:szCs w:val="24"/>
        </w:rPr>
        <w:t xml:space="preserve">The Investment Committee of the board of directors is responsible for approving major policies for conducting investment activities, including the establishment of risk limits. The Investment Committee will also ensure that management has the requisite skills to manage the risks associated with approved investment activities. Members of the Investment Committee are as follows: </w:t>
      </w:r>
      <w:r w:rsidRPr="00C11675">
        <w:rPr>
          <w:rFonts w:ascii="Arial" w:hAnsi="Arial" w:cs="Arial"/>
          <w:i/>
          <w:sz w:val="22"/>
          <w:szCs w:val="24"/>
        </w:rPr>
        <w:t>[the institution should provide an appropriate list which may include the persons listed below]</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Controller</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President</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Asset/Liability Manager</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Investment Portfolio Manager</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Outside Directors</w:t>
      </w:r>
    </w:p>
    <w:p w:rsidR="000F358E" w:rsidRPr="00C11675">
      <w:pPr>
        <w:rPr>
          <w:rFonts w:ascii="Arial" w:hAnsi="Arial" w:cs="Arial"/>
          <w:sz w:val="22"/>
          <w:szCs w:val="24"/>
        </w:rPr>
      </w:pPr>
    </w:p>
    <w:p w:rsidR="000F358E" w:rsidRPr="00C11675">
      <w:pPr>
        <w:pStyle w:val="BodyText21"/>
        <w:rPr>
          <w:rFonts w:ascii="Arial" w:hAnsi="Arial" w:cs="Arial"/>
          <w:sz w:val="22"/>
          <w:szCs w:val="24"/>
        </w:rPr>
      </w:pPr>
      <w:r w:rsidRPr="00C11675">
        <w:rPr>
          <w:rFonts w:ascii="Arial" w:hAnsi="Arial" w:cs="Arial"/>
          <w:sz w:val="22"/>
          <w:szCs w:val="24"/>
        </w:rPr>
        <w:t>The Investment Committee designates “named person/officer title” (e.g., John Doe or the President) as the person/officer primarily responsible for daily investment activities.</w:t>
      </w:r>
    </w:p>
    <w:p w:rsidR="000F358E">
      <w:pPr>
        <w:pStyle w:val="BodyText21"/>
        <w:rPr>
          <w:rFonts w:ascii="Arial" w:hAnsi="Arial" w:cs="Arial"/>
          <w:sz w:val="22"/>
          <w:szCs w:val="24"/>
        </w:rPr>
      </w:pPr>
    </w:p>
    <w:p w:rsidR="004E70F3">
      <w:pPr>
        <w:pStyle w:val="Heading4"/>
      </w:pPr>
      <w:r w:rsidRPr="00C11675">
        <w:rPr>
          <w:rFonts w:ascii="Arial" w:hAnsi="Arial" w:cs="Arial"/>
          <w:b w:val="0"/>
          <w:sz w:val="22"/>
          <w:szCs w:val="24"/>
        </w:rPr>
        <w:t xml:space="preserve">V. </w:t>
      </w:r>
      <w:r>
        <w:rPr>
          <w:rFonts w:ascii="Arial" w:hAnsi="Arial" w:cs="Arial"/>
          <w:b w:val="0"/>
          <w:sz w:val="22"/>
          <w:szCs w:val="24"/>
        </w:rPr>
        <w:t>Purchase of Securities</w:t>
      </w:r>
    </w:p>
    <w:p w:rsidR="006A589D">
      <w:pPr>
        <w:pStyle w:val="BodyText21"/>
        <w:rPr>
          <w:rFonts w:ascii="Arial" w:hAnsi="Arial" w:cs="Arial"/>
          <w:sz w:val="22"/>
          <w:szCs w:val="24"/>
        </w:rPr>
      </w:pPr>
      <w:r>
        <w:rPr>
          <w:rFonts w:ascii="Arial" w:hAnsi="Arial" w:cs="Arial"/>
          <w:sz w:val="22"/>
          <w:szCs w:val="24"/>
        </w:rPr>
        <w:t>Purchase of an individual security requires that the security be permissible, suitable from an interest rate risk perspective, and suitable from a credit risk perspective.</w:t>
      </w:r>
      <w:r w:rsidR="008B301A">
        <w:rPr>
          <w:rFonts w:ascii="Arial" w:hAnsi="Arial" w:cs="Arial"/>
          <w:sz w:val="22"/>
          <w:szCs w:val="24"/>
        </w:rPr>
        <w:t xml:space="preserve"> Each security purchase or sale requires completion of the Securities Transact</w:t>
      </w:r>
      <w:r w:rsidR="00401902">
        <w:rPr>
          <w:rFonts w:ascii="Arial" w:hAnsi="Arial" w:cs="Arial"/>
          <w:sz w:val="22"/>
          <w:szCs w:val="24"/>
        </w:rPr>
        <w:t xml:space="preserve">ion Report (see </w:t>
      </w:r>
      <w:r w:rsidR="00375B25">
        <w:rPr>
          <w:rFonts w:ascii="Arial" w:hAnsi="Arial" w:cs="Arial"/>
          <w:sz w:val="22"/>
          <w:szCs w:val="24"/>
        </w:rPr>
        <w:t xml:space="preserve">Appendix </w:t>
      </w:r>
      <w:r w:rsidR="00F250E7">
        <w:rPr>
          <w:rFonts w:ascii="Arial" w:hAnsi="Arial" w:cs="Arial"/>
          <w:sz w:val="22"/>
          <w:szCs w:val="24"/>
        </w:rPr>
        <w:t>V</w:t>
      </w:r>
      <w:r w:rsidR="00401902">
        <w:rPr>
          <w:rFonts w:ascii="Arial" w:hAnsi="Arial" w:cs="Arial"/>
          <w:sz w:val="22"/>
          <w:szCs w:val="24"/>
        </w:rPr>
        <w:t>), which documents the description of the security, reasons for the transaction, and the supporting documentation reviewed.</w:t>
      </w:r>
    </w:p>
    <w:p w:rsidR="002748FB">
      <w:pPr>
        <w:pStyle w:val="BodyText21"/>
        <w:rPr>
          <w:rFonts w:ascii="Arial" w:hAnsi="Arial" w:cs="Arial"/>
          <w:sz w:val="22"/>
          <w:szCs w:val="24"/>
        </w:rPr>
      </w:pPr>
    </w:p>
    <w:p w:rsidR="002748FB" w:rsidRPr="00C11675" w:rsidP="002748FB">
      <w:pPr>
        <w:pStyle w:val="BodyText21"/>
        <w:numPr>
          <w:ilvl w:val="0"/>
          <w:numId w:val="10"/>
        </w:numPr>
        <w:ind w:left="360"/>
        <w:rPr>
          <w:rFonts w:ascii="Arial" w:hAnsi="Arial" w:cs="Arial"/>
          <w:sz w:val="22"/>
          <w:szCs w:val="24"/>
        </w:rPr>
      </w:pPr>
      <w:r w:rsidRPr="00C11675">
        <w:rPr>
          <w:rFonts w:ascii="Arial" w:hAnsi="Arial" w:cs="Arial"/>
          <w:sz w:val="22"/>
          <w:szCs w:val="24"/>
        </w:rPr>
        <w:t>Permissible investments include the following debt/fixed income instruments:</w:t>
      </w:r>
    </w:p>
    <w:p w:rsidR="002748FB" w:rsidRPr="00C11675" w:rsidP="002748FB">
      <w:pPr>
        <w:pStyle w:val="BodyText2"/>
        <w:ind w:left="0" w:firstLine="0"/>
        <w:jc w:val="both"/>
        <w:rPr>
          <w:rFonts w:ascii="Arial" w:hAnsi="Arial" w:cs="Arial"/>
          <w:sz w:val="22"/>
          <w:szCs w:val="24"/>
        </w:rPr>
      </w:pPr>
      <w:r w:rsidRPr="00C11675">
        <w:rPr>
          <w:rFonts w:ascii="Arial" w:hAnsi="Arial" w:cs="Arial"/>
          <w:sz w:val="22"/>
          <w:szCs w:val="24"/>
        </w:rPr>
        <w:t>[The following is an example list of securities.  Each institution will have to decide what is appropriate for its unique circumstances.]</w:t>
      </w:r>
    </w:p>
    <w:p w:rsidR="002748FB" w:rsidRPr="00C11675" w:rsidP="002748FB">
      <w:pPr>
        <w:suppressAutoHyphens/>
        <w:rPr>
          <w:rFonts w:ascii="Arial" w:hAnsi="Arial" w:cs="Arial"/>
          <w:sz w:val="22"/>
          <w:szCs w:val="24"/>
        </w:rPr>
      </w:pPr>
    </w:p>
    <w:p w:rsidR="002748FB" w:rsidRPr="00C11675"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 xml:space="preserve">Direct obligations of the U.S. Treasury (e.g., bills, notes, bonds, etc.) and bullet instruments issued or backed by federal agencies that are </w:t>
      </w:r>
      <w:r w:rsidR="00EC219E">
        <w:rPr>
          <w:rFonts w:ascii="Arial" w:hAnsi="Arial" w:cs="Arial"/>
          <w:sz w:val="22"/>
          <w:szCs w:val="24"/>
        </w:rPr>
        <w:t>a GSE</w:t>
      </w:r>
      <w:r w:rsidR="00191031">
        <w:rPr>
          <w:rFonts w:ascii="Arial" w:hAnsi="Arial" w:cs="Arial"/>
          <w:sz w:val="22"/>
          <w:szCs w:val="24"/>
        </w:rPr>
        <w:t xml:space="preserve"> </w:t>
      </w:r>
      <w:r w:rsidRPr="00C11675">
        <w:rPr>
          <w:rFonts w:ascii="Arial" w:hAnsi="Arial" w:cs="Arial"/>
          <w:sz w:val="22"/>
          <w:szCs w:val="24"/>
        </w:rPr>
        <w:t>of the U.S. government  (e.g., FNMA, FHLMC, FHLB,  FFCB, etc. but not TVA). TVA is subject to legal lending limits and subject to the issuer limitation below.</w:t>
      </w:r>
    </w:p>
    <w:p w:rsidR="002748FB" w:rsidRPr="00C11675" w:rsidP="002748FB">
      <w:pPr>
        <w:numPr>
          <w:ilvl w:val="12"/>
          <w:numId w:val="0"/>
        </w:numPr>
        <w:suppressAutoHyphens/>
        <w:rPr>
          <w:rFonts w:ascii="Arial" w:hAnsi="Arial" w:cs="Arial"/>
          <w:sz w:val="22"/>
          <w:szCs w:val="24"/>
        </w:rPr>
      </w:pPr>
    </w:p>
    <w:p w:rsidR="002748FB" w:rsidRPr="00C11675"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Securities, including mortgage-related instruments, issued or backed by the full faith and credit of the United States government (e.g., GNMA, SBA, etc.)</w:t>
      </w:r>
    </w:p>
    <w:p w:rsidR="002748FB" w:rsidRPr="00C11675" w:rsidP="002748FB">
      <w:pPr>
        <w:numPr>
          <w:ilvl w:val="12"/>
          <w:numId w:val="0"/>
        </w:numPr>
        <w:suppressAutoHyphens/>
        <w:rPr>
          <w:rFonts w:ascii="Arial" w:hAnsi="Arial" w:cs="Arial"/>
          <w:sz w:val="22"/>
          <w:szCs w:val="24"/>
        </w:rPr>
      </w:pPr>
    </w:p>
    <w:p w:rsidR="002748FB" w:rsidRPr="00C11675"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Securities, including callable and mortgage-related instruments, issued or backed by federal agencies that are</w:t>
      </w:r>
      <w:r w:rsidR="00EC219E">
        <w:rPr>
          <w:rFonts w:ascii="Arial" w:hAnsi="Arial" w:cs="Arial"/>
          <w:sz w:val="22"/>
          <w:szCs w:val="24"/>
        </w:rPr>
        <w:t xml:space="preserve"> a GSE</w:t>
      </w:r>
      <w:r w:rsidRPr="00C11675">
        <w:rPr>
          <w:rFonts w:ascii="Arial" w:hAnsi="Arial" w:cs="Arial"/>
          <w:sz w:val="22"/>
          <w:szCs w:val="24"/>
        </w:rPr>
        <w:t xml:space="preserve"> of the U.S. government.</w:t>
      </w:r>
    </w:p>
    <w:p w:rsidR="002748FB" w:rsidRPr="00C11675" w:rsidP="002748FB">
      <w:pPr>
        <w:numPr>
          <w:ilvl w:val="12"/>
          <w:numId w:val="0"/>
        </w:numPr>
        <w:tabs>
          <w:tab w:val="left" w:pos="360"/>
        </w:tabs>
        <w:suppressAutoHyphens/>
        <w:rPr>
          <w:rFonts w:ascii="Arial" w:hAnsi="Arial" w:cs="Arial"/>
          <w:sz w:val="22"/>
          <w:szCs w:val="24"/>
        </w:rPr>
      </w:pPr>
    </w:p>
    <w:p w:rsidR="002748FB" w:rsidRPr="00C11675"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 xml:space="preserve">Debt obligations of a U.S. state or political subdivision such as a county, city, town, village, or municipality that represent general obligations of the issuer or revenue bonds.  </w:t>
      </w:r>
    </w:p>
    <w:p w:rsidR="002748FB" w:rsidRPr="00C11675" w:rsidP="002748FB">
      <w:pPr>
        <w:tabs>
          <w:tab w:val="left" w:pos="360"/>
        </w:tabs>
        <w:suppressAutoHyphens/>
        <w:rPr>
          <w:rFonts w:ascii="Arial" w:hAnsi="Arial" w:cs="Arial"/>
          <w:sz w:val="22"/>
          <w:szCs w:val="24"/>
        </w:rPr>
      </w:pPr>
    </w:p>
    <w:p w:rsidR="002748FB" w:rsidRPr="00C11675"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Corporate securities, including non-mortgage, asset-backed instruments (non-government issuers).</w:t>
      </w:r>
    </w:p>
    <w:p w:rsidR="002748FB" w:rsidRPr="00C11675" w:rsidP="002748FB">
      <w:pPr>
        <w:numPr>
          <w:ilvl w:val="12"/>
          <w:numId w:val="0"/>
        </w:numPr>
        <w:tabs>
          <w:tab w:val="left" w:pos="360"/>
        </w:tabs>
        <w:suppressAutoHyphens/>
        <w:rPr>
          <w:rFonts w:ascii="Arial" w:hAnsi="Arial" w:cs="Arial"/>
          <w:sz w:val="22"/>
          <w:szCs w:val="24"/>
        </w:rPr>
      </w:pPr>
    </w:p>
    <w:p w:rsidR="002748FB" w:rsidRPr="00C11675"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Private label mortgage-related securities are permissible if the collateral is agency-backed/issued or underwritten using prudent standards as outlined in the Secondary Mortgage Market Enhancement Act.</w:t>
      </w:r>
    </w:p>
    <w:p w:rsidR="002748FB" w:rsidRPr="00C11675" w:rsidP="002748FB">
      <w:pPr>
        <w:numPr>
          <w:ilvl w:val="12"/>
          <w:numId w:val="0"/>
        </w:numPr>
        <w:tabs>
          <w:tab w:val="left" w:pos="360"/>
        </w:tabs>
        <w:suppressAutoHyphens/>
        <w:rPr>
          <w:rFonts w:ascii="Arial" w:hAnsi="Arial" w:cs="Arial"/>
          <w:sz w:val="22"/>
          <w:szCs w:val="24"/>
        </w:rPr>
      </w:pPr>
    </w:p>
    <w:p w:rsidR="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Certificates of deposit are permissible if federally insured.</w:t>
      </w:r>
      <w:r>
        <w:rPr>
          <w:rFonts w:ascii="Arial" w:hAnsi="Arial" w:cs="Arial"/>
          <w:sz w:val="22"/>
          <w:szCs w:val="24"/>
        </w:rPr>
        <w:br/>
      </w:r>
    </w:p>
    <w:p w:rsidR="002748FB" w:rsidP="002748FB">
      <w:pPr>
        <w:pStyle w:val="ListParagraph"/>
        <w:rPr>
          <w:rFonts w:ascii="Arial" w:hAnsi="Arial" w:cs="Arial"/>
          <w:sz w:val="22"/>
          <w:szCs w:val="24"/>
        </w:rPr>
      </w:pPr>
    </w:p>
    <w:p w:rsidR="002748FB" w:rsidP="002748FB">
      <w:pPr>
        <w:numPr>
          <w:ilvl w:val="0"/>
          <w:numId w:val="2"/>
        </w:numPr>
        <w:tabs>
          <w:tab w:val="left" w:pos="360"/>
        </w:tabs>
        <w:suppressAutoHyphens/>
        <w:rPr>
          <w:rFonts w:ascii="Arial" w:hAnsi="Arial" w:cs="Arial"/>
          <w:sz w:val="22"/>
          <w:szCs w:val="24"/>
        </w:rPr>
      </w:pPr>
      <w:r>
        <w:rPr>
          <w:rFonts w:ascii="Arial" w:hAnsi="Arial" w:cs="Arial"/>
          <w:sz w:val="22"/>
          <w:szCs w:val="24"/>
        </w:rPr>
        <w:t>___________________________________________</w:t>
      </w:r>
      <w:r>
        <w:rPr>
          <w:rFonts w:ascii="Arial" w:hAnsi="Arial" w:cs="Arial"/>
          <w:sz w:val="22"/>
          <w:szCs w:val="24"/>
        </w:rPr>
        <w:br/>
      </w:r>
    </w:p>
    <w:p w:rsidR="002748FB" w:rsidP="002748FB">
      <w:pPr>
        <w:pStyle w:val="ListParagraph"/>
        <w:rPr>
          <w:rFonts w:ascii="Arial" w:hAnsi="Arial" w:cs="Arial"/>
          <w:sz w:val="22"/>
          <w:szCs w:val="24"/>
        </w:rPr>
      </w:pPr>
    </w:p>
    <w:p w:rsidR="002748FB" w:rsidRPr="00C11675" w:rsidP="002748FB">
      <w:pPr>
        <w:numPr>
          <w:ilvl w:val="0"/>
          <w:numId w:val="2"/>
        </w:numPr>
        <w:tabs>
          <w:tab w:val="left" w:pos="360"/>
        </w:tabs>
        <w:suppressAutoHyphens/>
        <w:rPr>
          <w:rFonts w:ascii="Arial" w:hAnsi="Arial" w:cs="Arial"/>
          <w:sz w:val="22"/>
          <w:szCs w:val="24"/>
        </w:rPr>
      </w:pPr>
      <w:r>
        <w:rPr>
          <w:rFonts w:ascii="Arial" w:hAnsi="Arial" w:cs="Arial"/>
          <w:sz w:val="22"/>
          <w:szCs w:val="24"/>
        </w:rPr>
        <w:t>____________________________________________</w:t>
      </w:r>
    </w:p>
    <w:p w:rsidR="002748FB" w:rsidP="002748FB">
      <w:pPr>
        <w:pStyle w:val="BodyText21"/>
        <w:ind w:left="360"/>
        <w:rPr>
          <w:rFonts w:ascii="Arial" w:hAnsi="Arial" w:cs="Arial"/>
          <w:sz w:val="22"/>
          <w:szCs w:val="24"/>
        </w:rPr>
      </w:pPr>
    </w:p>
    <w:p w:rsidR="002748FB" w:rsidP="002748FB">
      <w:pPr>
        <w:pStyle w:val="BodyText21"/>
        <w:ind w:left="720"/>
        <w:rPr>
          <w:rFonts w:ascii="Arial" w:hAnsi="Arial" w:cs="Arial"/>
          <w:sz w:val="22"/>
          <w:szCs w:val="24"/>
        </w:rPr>
      </w:pPr>
    </w:p>
    <w:p w:rsidR="004E70F3">
      <w:pPr>
        <w:pStyle w:val="BodyText21"/>
        <w:numPr>
          <w:ilvl w:val="0"/>
          <w:numId w:val="10"/>
        </w:numPr>
        <w:ind w:left="360"/>
        <w:rPr>
          <w:rFonts w:ascii="Arial" w:hAnsi="Arial" w:cs="Arial"/>
          <w:sz w:val="22"/>
          <w:szCs w:val="24"/>
        </w:rPr>
      </w:pPr>
      <w:r>
        <w:rPr>
          <w:rFonts w:ascii="Arial" w:hAnsi="Arial" w:cs="Arial"/>
          <w:sz w:val="22"/>
          <w:szCs w:val="24"/>
        </w:rPr>
        <w:t>Investments Suitable as to Interest Rate Risk Exposure</w:t>
      </w:r>
    </w:p>
    <w:p w:rsidR="002748FB" w:rsidP="00F476C8">
      <w:pPr>
        <w:pStyle w:val="BodyText21"/>
        <w:ind w:left="360"/>
        <w:rPr>
          <w:rFonts w:ascii="Arial" w:hAnsi="Arial" w:cs="Arial"/>
          <w:sz w:val="22"/>
          <w:szCs w:val="24"/>
        </w:rPr>
      </w:pPr>
      <w:r>
        <w:rPr>
          <w:rFonts w:ascii="Arial" w:hAnsi="Arial" w:cs="Arial"/>
          <w:sz w:val="22"/>
          <w:szCs w:val="24"/>
        </w:rPr>
        <w:t xml:space="preserve">Appendix </w:t>
      </w:r>
      <w:r w:rsidR="00A51D77">
        <w:rPr>
          <w:rFonts w:ascii="Arial" w:hAnsi="Arial" w:cs="Arial"/>
          <w:sz w:val="22"/>
          <w:szCs w:val="24"/>
        </w:rPr>
        <w:t>I</w:t>
      </w:r>
      <w:r>
        <w:rPr>
          <w:rFonts w:ascii="Arial" w:hAnsi="Arial" w:cs="Arial"/>
          <w:sz w:val="22"/>
          <w:szCs w:val="24"/>
        </w:rPr>
        <w:t xml:space="preserve"> </w:t>
      </w:r>
      <w:r w:rsidR="00A51D77">
        <w:rPr>
          <w:rFonts w:ascii="Arial" w:hAnsi="Arial" w:cs="Arial"/>
          <w:sz w:val="22"/>
          <w:szCs w:val="24"/>
        </w:rPr>
        <w:t xml:space="preserve">lists securities </w:t>
      </w:r>
      <w:r w:rsidR="00570604">
        <w:rPr>
          <w:rFonts w:ascii="Arial" w:hAnsi="Arial" w:cs="Arial"/>
          <w:sz w:val="22"/>
          <w:szCs w:val="24"/>
        </w:rPr>
        <w:t>that are</w:t>
      </w:r>
      <w:r w:rsidR="00B01DB3">
        <w:rPr>
          <w:rFonts w:ascii="Arial" w:hAnsi="Arial" w:cs="Arial"/>
          <w:sz w:val="22"/>
          <w:szCs w:val="24"/>
        </w:rPr>
        <w:t xml:space="preserve"> permissible investments described in section V.A. above. </w:t>
      </w:r>
      <w:r>
        <w:rPr>
          <w:rFonts w:ascii="Arial" w:hAnsi="Arial" w:cs="Arial"/>
          <w:sz w:val="22"/>
          <w:szCs w:val="24"/>
        </w:rPr>
        <w:t xml:space="preserve">Appendix </w:t>
      </w:r>
      <w:r w:rsidR="00B01DB3">
        <w:rPr>
          <w:rFonts w:ascii="Arial" w:hAnsi="Arial" w:cs="Arial"/>
          <w:sz w:val="22"/>
          <w:szCs w:val="24"/>
        </w:rPr>
        <w:t>I also includes maximum allowed final maturities and pre purchase price volatility limits by type of instrument, if required.  Securities with certain well understood characteristics are considered to be standardized, non-complex investments; therefore, they are not subject to individual pre or post purchase analyses.  Thes</w:t>
      </w:r>
      <w:r w:rsidR="001F3F1B">
        <w:rPr>
          <w:rFonts w:ascii="Arial" w:hAnsi="Arial" w:cs="Arial"/>
          <w:sz w:val="22"/>
          <w:szCs w:val="24"/>
        </w:rPr>
        <w:t>e securities will be included in portfolio, portfolio segment, or bank-wide tests and will be subject to pre purchase prudent safe and sound banking assessments</w:t>
      </w:r>
      <w:r>
        <w:rPr>
          <w:rFonts w:ascii="Arial" w:hAnsi="Arial" w:cs="Arial"/>
          <w:sz w:val="22"/>
          <w:szCs w:val="24"/>
        </w:rPr>
        <w:t xml:space="preserve"> included in Appendix</w:t>
      </w:r>
      <w:r w:rsidR="003D07E2">
        <w:rPr>
          <w:rFonts w:ascii="Arial" w:hAnsi="Arial" w:cs="Arial"/>
          <w:sz w:val="22"/>
          <w:szCs w:val="24"/>
        </w:rPr>
        <w:t xml:space="preserve"> II.</w:t>
      </w:r>
    </w:p>
    <w:p w:rsidR="004E70F3">
      <w:pPr>
        <w:pStyle w:val="Header"/>
        <w:ind w:left="360"/>
        <w:jc w:val="both"/>
        <w:rPr>
          <w:rFonts w:ascii="Arial" w:hAnsi="Arial" w:cs="Arial"/>
          <w:sz w:val="22"/>
          <w:szCs w:val="24"/>
        </w:rPr>
      </w:pPr>
    </w:p>
    <w:p w:rsidR="004E70F3">
      <w:pPr>
        <w:pStyle w:val="Header"/>
        <w:ind w:left="360"/>
        <w:jc w:val="both"/>
        <w:rPr>
          <w:rFonts w:ascii="Arial" w:hAnsi="Arial" w:cs="Arial"/>
          <w:sz w:val="22"/>
          <w:szCs w:val="24"/>
        </w:rPr>
      </w:pPr>
      <w:r>
        <w:rPr>
          <w:rFonts w:ascii="Arial" w:hAnsi="Arial" w:cs="Arial"/>
          <w:sz w:val="22"/>
          <w:szCs w:val="24"/>
        </w:rPr>
        <w:t>Generally Suitable Securities i</w:t>
      </w:r>
      <w:r w:rsidRPr="00C11675" w:rsidR="00F476C8">
        <w:rPr>
          <w:rFonts w:ascii="Arial" w:hAnsi="Arial" w:cs="Arial"/>
          <w:sz w:val="22"/>
          <w:szCs w:val="24"/>
        </w:rPr>
        <w:t xml:space="preserve">n </w:t>
      </w:r>
      <w:r>
        <w:rPr>
          <w:rFonts w:ascii="Arial" w:hAnsi="Arial" w:cs="Arial"/>
          <w:sz w:val="22"/>
          <w:szCs w:val="24"/>
        </w:rPr>
        <w:t xml:space="preserve">Appendix </w:t>
      </w:r>
      <w:r w:rsidRPr="00C11675" w:rsidR="00F476C8">
        <w:rPr>
          <w:rFonts w:ascii="Arial" w:hAnsi="Arial" w:cs="Arial"/>
          <w:sz w:val="22"/>
          <w:szCs w:val="24"/>
        </w:rPr>
        <w:t>I</w:t>
      </w:r>
      <w:r w:rsidR="00191031">
        <w:rPr>
          <w:rFonts w:ascii="Arial" w:hAnsi="Arial" w:cs="Arial"/>
          <w:sz w:val="22"/>
          <w:szCs w:val="24"/>
        </w:rPr>
        <w:t>,</w:t>
      </w:r>
      <w:r w:rsidRPr="00C11675" w:rsidR="00F476C8">
        <w:rPr>
          <w:rFonts w:ascii="Arial" w:hAnsi="Arial" w:cs="Arial"/>
          <w:sz w:val="22"/>
          <w:szCs w:val="24"/>
        </w:rPr>
        <w:t xml:space="preserve"> which pass the pre-purchase analysis test, if required, may be purchased by the investment officer designated above.  Other securities may be purchased with approval of no fewer than two Investment Committee members with subsequent approval at the next regularly scheduled board meeting.</w:t>
      </w:r>
    </w:p>
    <w:p w:rsidR="004E70F3">
      <w:pPr>
        <w:pStyle w:val="BodyText21"/>
        <w:rPr>
          <w:rFonts w:ascii="Arial" w:hAnsi="Arial" w:cs="Arial"/>
          <w:sz w:val="22"/>
          <w:szCs w:val="24"/>
        </w:rPr>
      </w:pPr>
    </w:p>
    <w:p w:rsidR="004E70F3">
      <w:pPr>
        <w:pStyle w:val="BodyText21"/>
        <w:numPr>
          <w:ilvl w:val="0"/>
          <w:numId w:val="10"/>
        </w:numPr>
        <w:ind w:left="360"/>
        <w:jc w:val="left"/>
        <w:rPr>
          <w:rFonts w:ascii="Arial" w:hAnsi="Arial" w:cs="Arial"/>
          <w:sz w:val="22"/>
          <w:szCs w:val="22"/>
        </w:rPr>
      </w:pPr>
      <w:r>
        <w:rPr>
          <w:rFonts w:ascii="Arial" w:hAnsi="Arial" w:cs="Arial"/>
          <w:sz w:val="22"/>
          <w:szCs w:val="24"/>
        </w:rPr>
        <w:t>Investments Suitable as to Credit Risk Exposure</w:t>
      </w:r>
    </w:p>
    <w:p w:rsidR="004E70F3">
      <w:pPr>
        <w:pStyle w:val="BodyText21"/>
        <w:ind w:left="360"/>
        <w:rPr>
          <w:rFonts w:ascii="Arial" w:hAnsi="Arial" w:cs="Arial"/>
          <w:sz w:val="22"/>
          <w:szCs w:val="22"/>
        </w:rPr>
      </w:pPr>
      <w:r w:rsidRPr="00240B43">
        <w:rPr>
          <w:rFonts w:ascii="Arial" w:hAnsi="Arial" w:cs="Arial"/>
          <w:sz w:val="22"/>
          <w:szCs w:val="24"/>
        </w:rPr>
        <w:t xml:space="preserve">The institution is required to determine whether or not securities subject to credit risk exposure are permissible under prudent and safe and sound banking practices and other securities require an additional “investment grade” assessment in order to determine whether purchasing the security is permissible. Investments are considered “investment grade” if they meet the regulatory standard for credit quality. To meet this standard, the institution must be able to determine that the security has (1) low risk of default by the obligor, (2) the full and timely repayment of principal and interest is expected over the expected life of the investment, and (3) the investment must be consistent with safe and sound banking practices.  </w:t>
      </w:r>
      <w:r w:rsidRPr="00240B43">
        <w:rPr>
          <w:rFonts w:ascii="Arial" w:hAnsi="Arial" w:cs="Arial"/>
          <w:sz w:val="22"/>
          <w:szCs w:val="22"/>
        </w:rPr>
        <w:t xml:space="preserve">In making these </w:t>
      </w:r>
      <w:r w:rsidRPr="00240B43">
        <w:rPr>
          <w:rFonts w:ascii="Arial" w:hAnsi="Arial" w:cs="Arial"/>
          <w:sz w:val="22"/>
          <w:szCs w:val="22"/>
        </w:rPr>
        <w:t>assessments, the institution will review information sufficient to be comfortable that the obligor has an adequate capacity to meet the financial commitments.</w:t>
      </w:r>
      <w:r w:rsidRPr="00240B43">
        <w:rPr>
          <w:rFonts w:ascii="Arial" w:hAnsi="Arial" w:cs="Arial"/>
          <w:sz w:val="22"/>
          <w:szCs w:val="24"/>
        </w:rPr>
        <w:t xml:space="preserve">  </w:t>
      </w:r>
      <w:r w:rsidR="00375B25">
        <w:rPr>
          <w:rFonts w:ascii="Arial" w:hAnsi="Arial" w:cs="Arial"/>
          <w:sz w:val="22"/>
          <w:szCs w:val="24"/>
        </w:rPr>
        <w:t xml:space="preserve">Appendix </w:t>
      </w:r>
      <w:r w:rsidRPr="00240B43">
        <w:rPr>
          <w:rFonts w:ascii="Arial" w:hAnsi="Arial" w:cs="Arial"/>
          <w:sz w:val="22"/>
          <w:szCs w:val="24"/>
        </w:rPr>
        <w:t xml:space="preserve">II lists securities that are subject to pre purchase prudent safe and sound and investment grade assessments in addition to minimum credit ratings by the credit rating agencies (i.e. S&amp;P and Moodys).  </w:t>
      </w:r>
    </w:p>
    <w:p w:rsidR="00E728F7" w:rsidP="0080169D">
      <w:pPr>
        <w:pStyle w:val="BodyText21"/>
        <w:rPr>
          <w:rFonts w:ascii="Arial" w:hAnsi="Arial" w:cs="Arial"/>
          <w:sz w:val="22"/>
          <w:szCs w:val="24"/>
        </w:rPr>
      </w:pPr>
    </w:p>
    <w:p w:rsidR="004E70F3">
      <w:pPr>
        <w:pStyle w:val="BodyText21"/>
        <w:ind w:left="360"/>
        <w:rPr>
          <w:rFonts w:ascii="Arial" w:hAnsi="Arial" w:cs="Arial"/>
          <w:sz w:val="22"/>
          <w:szCs w:val="24"/>
        </w:rPr>
      </w:pPr>
      <w:r>
        <w:rPr>
          <w:rFonts w:ascii="Arial" w:hAnsi="Arial" w:cs="Arial"/>
          <w:sz w:val="22"/>
          <w:szCs w:val="24"/>
        </w:rPr>
        <w:t>If securities do not meet</w:t>
      </w:r>
      <w:r w:rsidR="00A967F0">
        <w:rPr>
          <w:rFonts w:ascii="Arial" w:hAnsi="Arial" w:cs="Arial"/>
          <w:sz w:val="22"/>
          <w:szCs w:val="24"/>
        </w:rPr>
        <w:t xml:space="preserve"> the</w:t>
      </w:r>
      <w:r>
        <w:rPr>
          <w:rFonts w:ascii="Arial" w:hAnsi="Arial" w:cs="Arial"/>
          <w:sz w:val="22"/>
          <w:szCs w:val="24"/>
        </w:rPr>
        <w:t xml:space="preserve"> minimum credit ratings</w:t>
      </w:r>
      <w:r w:rsidR="00A967F0">
        <w:rPr>
          <w:rFonts w:ascii="Arial" w:hAnsi="Arial" w:cs="Arial"/>
          <w:sz w:val="22"/>
          <w:szCs w:val="24"/>
        </w:rPr>
        <w:t xml:space="preserve"> in </w:t>
      </w:r>
      <w:r w:rsidR="00375B25">
        <w:rPr>
          <w:rFonts w:ascii="Arial" w:hAnsi="Arial" w:cs="Arial"/>
          <w:sz w:val="22"/>
          <w:szCs w:val="24"/>
        </w:rPr>
        <w:t xml:space="preserve">Appendix </w:t>
      </w:r>
      <w:r w:rsidR="00A967F0">
        <w:rPr>
          <w:rFonts w:ascii="Arial" w:hAnsi="Arial" w:cs="Arial"/>
          <w:sz w:val="22"/>
          <w:szCs w:val="24"/>
        </w:rPr>
        <w:t>II</w:t>
      </w:r>
      <w:r>
        <w:rPr>
          <w:rFonts w:ascii="Arial" w:hAnsi="Arial" w:cs="Arial"/>
          <w:sz w:val="22"/>
          <w:szCs w:val="24"/>
        </w:rPr>
        <w:t>, the institution is not prohibited from purchasing the i</w:t>
      </w:r>
      <w:r w:rsidR="00A967F0">
        <w:rPr>
          <w:rFonts w:ascii="Arial" w:hAnsi="Arial" w:cs="Arial"/>
          <w:sz w:val="22"/>
          <w:szCs w:val="24"/>
        </w:rPr>
        <w:t>nvestment; however, it is expected that unrated or lower ra</w:t>
      </w:r>
      <w:r w:rsidR="00AA34B5">
        <w:rPr>
          <w:rFonts w:ascii="Arial" w:hAnsi="Arial" w:cs="Arial"/>
          <w:sz w:val="22"/>
          <w:szCs w:val="24"/>
        </w:rPr>
        <w:t>ted bonds may require a more detailed</w:t>
      </w:r>
      <w:r w:rsidR="00A967F0">
        <w:rPr>
          <w:rFonts w:ascii="Arial" w:hAnsi="Arial" w:cs="Arial"/>
          <w:sz w:val="22"/>
          <w:szCs w:val="24"/>
        </w:rPr>
        <w:t xml:space="preserve"> pre purchase analys</w:t>
      </w:r>
      <w:r w:rsidR="00AA34B5">
        <w:rPr>
          <w:rFonts w:ascii="Arial" w:hAnsi="Arial" w:cs="Arial"/>
          <w:sz w:val="22"/>
          <w:szCs w:val="24"/>
        </w:rPr>
        <w:t>is than higher rated securities and may require additional levels of approval prior to purchase.</w:t>
      </w:r>
      <w:r w:rsidR="00A967F0">
        <w:rPr>
          <w:rFonts w:ascii="Arial" w:hAnsi="Arial" w:cs="Arial"/>
          <w:sz w:val="22"/>
          <w:szCs w:val="24"/>
        </w:rPr>
        <w:t xml:space="preserve"> </w:t>
      </w:r>
      <w:r w:rsidR="00AA34B5">
        <w:rPr>
          <w:rFonts w:ascii="Arial" w:hAnsi="Arial" w:cs="Arial"/>
          <w:sz w:val="22"/>
          <w:szCs w:val="24"/>
        </w:rPr>
        <w:t xml:space="preserve"> The credit risk assessment process </w:t>
      </w:r>
      <w:r>
        <w:rPr>
          <w:rFonts w:ascii="Arial" w:hAnsi="Arial" w:cs="Arial"/>
          <w:sz w:val="22"/>
          <w:szCs w:val="24"/>
        </w:rPr>
        <w:t>as o</w:t>
      </w:r>
      <w:r w:rsidR="00A967F0">
        <w:rPr>
          <w:rFonts w:ascii="Arial" w:hAnsi="Arial" w:cs="Arial"/>
          <w:sz w:val="22"/>
          <w:szCs w:val="24"/>
        </w:rPr>
        <w:t xml:space="preserve">utlined in </w:t>
      </w:r>
      <w:r w:rsidR="00375B25">
        <w:rPr>
          <w:rFonts w:ascii="Arial" w:hAnsi="Arial" w:cs="Arial"/>
          <w:sz w:val="22"/>
          <w:szCs w:val="24"/>
        </w:rPr>
        <w:t xml:space="preserve">Appendix </w:t>
      </w:r>
      <w:r w:rsidR="00A967F0">
        <w:rPr>
          <w:rFonts w:ascii="Arial" w:hAnsi="Arial" w:cs="Arial"/>
          <w:sz w:val="22"/>
          <w:szCs w:val="24"/>
        </w:rPr>
        <w:t>III and IV will</w:t>
      </w:r>
      <w:r>
        <w:rPr>
          <w:rFonts w:ascii="Arial" w:hAnsi="Arial" w:cs="Arial"/>
          <w:sz w:val="22"/>
          <w:szCs w:val="24"/>
        </w:rPr>
        <w:t xml:space="preserve"> be performed</w:t>
      </w:r>
      <w:r w:rsidR="00F476C8">
        <w:rPr>
          <w:rFonts w:ascii="Arial" w:hAnsi="Arial" w:cs="Arial"/>
          <w:sz w:val="22"/>
          <w:szCs w:val="24"/>
        </w:rPr>
        <w:t xml:space="preserve"> and </w:t>
      </w:r>
      <w:r>
        <w:rPr>
          <w:rFonts w:ascii="Arial" w:hAnsi="Arial" w:cs="Arial"/>
          <w:sz w:val="22"/>
          <w:szCs w:val="24"/>
        </w:rPr>
        <w:t>documented</w:t>
      </w:r>
      <w:r w:rsidR="00F476C8">
        <w:rPr>
          <w:rFonts w:ascii="Arial" w:hAnsi="Arial" w:cs="Arial"/>
          <w:sz w:val="22"/>
          <w:szCs w:val="24"/>
        </w:rPr>
        <w:t xml:space="preserve"> by management, and</w:t>
      </w:r>
      <w:r w:rsidR="00120536">
        <w:rPr>
          <w:rFonts w:ascii="Arial" w:hAnsi="Arial" w:cs="Arial"/>
          <w:sz w:val="22"/>
          <w:szCs w:val="24"/>
        </w:rPr>
        <w:t xml:space="preserve"> if required,</w:t>
      </w:r>
      <w:r w:rsidR="00F476C8">
        <w:rPr>
          <w:rFonts w:ascii="Arial" w:hAnsi="Arial" w:cs="Arial"/>
          <w:sz w:val="22"/>
          <w:szCs w:val="24"/>
        </w:rPr>
        <w:t xml:space="preserve"> approved by the Investment Committee</w:t>
      </w:r>
      <w:r>
        <w:rPr>
          <w:rFonts w:ascii="Arial" w:hAnsi="Arial" w:cs="Arial"/>
          <w:sz w:val="22"/>
          <w:szCs w:val="24"/>
        </w:rPr>
        <w:t xml:space="preserve"> prior to purchase</w:t>
      </w:r>
      <w:r w:rsidR="00F476C8">
        <w:rPr>
          <w:rFonts w:ascii="Arial" w:hAnsi="Arial" w:cs="Arial"/>
          <w:sz w:val="22"/>
          <w:szCs w:val="24"/>
        </w:rPr>
        <w:t>.</w:t>
      </w:r>
      <w:r w:rsidR="00BB75AE">
        <w:rPr>
          <w:rFonts w:ascii="Arial" w:hAnsi="Arial" w:cs="Arial"/>
          <w:sz w:val="22"/>
          <w:szCs w:val="24"/>
        </w:rPr>
        <w:t xml:space="preserve"> </w:t>
      </w:r>
      <w:r>
        <w:rPr>
          <w:rFonts w:ascii="Arial" w:hAnsi="Arial" w:cs="Arial"/>
          <w:sz w:val="22"/>
          <w:szCs w:val="24"/>
        </w:rPr>
        <w:t xml:space="preserve"> </w:t>
      </w:r>
      <w:r w:rsidR="00375B25">
        <w:rPr>
          <w:rFonts w:ascii="Arial" w:hAnsi="Arial" w:cs="Arial"/>
          <w:sz w:val="22"/>
          <w:szCs w:val="24"/>
        </w:rPr>
        <w:t xml:space="preserve">Appendix </w:t>
      </w:r>
      <w:r w:rsidR="001F3F1B">
        <w:rPr>
          <w:rFonts w:ascii="Arial" w:hAnsi="Arial" w:cs="Arial"/>
          <w:sz w:val="22"/>
          <w:szCs w:val="24"/>
        </w:rPr>
        <w:t>II</w:t>
      </w:r>
      <w:r w:rsidR="00BB75AE">
        <w:rPr>
          <w:rFonts w:ascii="Arial" w:hAnsi="Arial" w:cs="Arial"/>
          <w:sz w:val="22"/>
          <w:szCs w:val="24"/>
        </w:rPr>
        <w:t>I</w:t>
      </w:r>
      <w:r w:rsidR="001F3F1B">
        <w:rPr>
          <w:rFonts w:ascii="Arial" w:hAnsi="Arial" w:cs="Arial"/>
          <w:sz w:val="22"/>
          <w:szCs w:val="24"/>
        </w:rPr>
        <w:t xml:space="preserve"> includes the institution’s “Credit Risk Assessment Matrix” that is used to support the “investment grade” assessment</w:t>
      </w:r>
      <w:r>
        <w:rPr>
          <w:rFonts w:ascii="Arial" w:hAnsi="Arial" w:cs="Arial"/>
          <w:sz w:val="22"/>
          <w:szCs w:val="24"/>
        </w:rPr>
        <w:t>, if required</w:t>
      </w:r>
      <w:r w:rsidR="001F3F1B">
        <w:rPr>
          <w:rFonts w:ascii="Arial" w:hAnsi="Arial" w:cs="Arial"/>
          <w:sz w:val="22"/>
          <w:szCs w:val="24"/>
        </w:rPr>
        <w:t>.</w:t>
      </w:r>
      <w:r w:rsidR="00BB75AE">
        <w:rPr>
          <w:rFonts w:ascii="Arial" w:hAnsi="Arial" w:cs="Arial"/>
          <w:sz w:val="22"/>
          <w:szCs w:val="24"/>
        </w:rPr>
        <w:t xml:space="preserve">  </w:t>
      </w:r>
      <w:r w:rsidR="00375B25">
        <w:rPr>
          <w:rFonts w:ascii="Arial" w:hAnsi="Arial" w:cs="Arial"/>
          <w:sz w:val="22"/>
          <w:szCs w:val="24"/>
        </w:rPr>
        <w:t xml:space="preserve">Appendix </w:t>
      </w:r>
      <w:r w:rsidR="00BB75AE">
        <w:rPr>
          <w:rFonts w:ascii="Arial" w:hAnsi="Arial" w:cs="Arial"/>
          <w:sz w:val="22"/>
          <w:szCs w:val="24"/>
        </w:rPr>
        <w:t>IV includes</w:t>
      </w:r>
      <w:r w:rsidR="00120536">
        <w:rPr>
          <w:rFonts w:ascii="Arial" w:hAnsi="Arial" w:cs="Arial"/>
          <w:sz w:val="22"/>
          <w:szCs w:val="24"/>
        </w:rPr>
        <w:t xml:space="preserve"> the</w:t>
      </w:r>
      <w:r>
        <w:rPr>
          <w:rFonts w:ascii="Arial" w:hAnsi="Arial" w:cs="Arial"/>
          <w:sz w:val="22"/>
          <w:szCs w:val="24"/>
        </w:rPr>
        <w:t xml:space="preserve"> credit risk assessment that will be performed for securities that require the assessment.</w:t>
      </w:r>
      <w:r w:rsidR="00BB75AE">
        <w:rPr>
          <w:rFonts w:ascii="Arial" w:hAnsi="Arial" w:cs="Arial"/>
          <w:sz w:val="22"/>
          <w:szCs w:val="24"/>
        </w:rPr>
        <w:t xml:space="preserve"> </w:t>
      </w:r>
    </w:p>
    <w:p w:rsidR="004E70F3">
      <w:pPr>
        <w:pStyle w:val="BodyText21"/>
        <w:ind w:left="360"/>
        <w:rPr>
          <w:rFonts w:ascii="Arial" w:hAnsi="Arial" w:cs="Arial"/>
          <w:sz w:val="22"/>
          <w:szCs w:val="24"/>
        </w:rPr>
      </w:pPr>
    </w:p>
    <w:p w:rsidR="0080169D" w:rsidRPr="00C11675" w:rsidP="0080169D">
      <w:pPr>
        <w:pStyle w:val="BodyText21"/>
        <w:tabs>
          <w:tab w:val="left" w:pos="360"/>
        </w:tabs>
        <w:suppressAutoHyphens/>
        <w:ind w:left="360"/>
        <w:rPr>
          <w:rFonts w:ascii="Arial" w:hAnsi="Arial" w:cs="Arial"/>
          <w:sz w:val="22"/>
          <w:szCs w:val="24"/>
        </w:rPr>
      </w:pPr>
      <w:r w:rsidRPr="00C11675">
        <w:rPr>
          <w:rFonts w:ascii="Arial" w:hAnsi="Arial" w:cs="Arial"/>
          <w:sz w:val="22"/>
          <w:szCs w:val="24"/>
        </w:rPr>
        <w:t>For municipals, non-rated, general-obligation bonds are permissible if in state</w:t>
      </w:r>
      <w:r>
        <w:rPr>
          <w:rFonts w:ascii="Arial" w:hAnsi="Arial" w:cs="Arial"/>
          <w:sz w:val="22"/>
          <w:szCs w:val="24"/>
        </w:rPr>
        <w:t xml:space="preserve"> and</w:t>
      </w:r>
      <w:r w:rsidRPr="00C11675">
        <w:rPr>
          <w:rFonts w:ascii="Arial" w:hAnsi="Arial" w:cs="Arial"/>
          <w:sz w:val="22"/>
          <w:szCs w:val="24"/>
        </w:rPr>
        <w:t xml:space="preserve"> the credit-worthiness of the issuer has been analyz</w:t>
      </w:r>
      <w:r>
        <w:rPr>
          <w:rFonts w:ascii="Arial" w:hAnsi="Arial" w:cs="Arial"/>
          <w:sz w:val="22"/>
          <w:szCs w:val="24"/>
        </w:rPr>
        <w:t>ed and determined to be</w:t>
      </w:r>
      <w:r w:rsidR="00120536">
        <w:rPr>
          <w:rFonts w:ascii="Arial" w:hAnsi="Arial" w:cs="Arial"/>
          <w:sz w:val="22"/>
          <w:szCs w:val="24"/>
        </w:rPr>
        <w:t xml:space="preserve"> a prudent safe and sound investment </w:t>
      </w:r>
      <w:r>
        <w:rPr>
          <w:rFonts w:ascii="Arial" w:hAnsi="Arial" w:cs="Arial"/>
          <w:sz w:val="22"/>
          <w:szCs w:val="24"/>
        </w:rPr>
        <w:t xml:space="preserve">as outlined in </w:t>
      </w:r>
      <w:r w:rsidR="00375B25">
        <w:rPr>
          <w:rFonts w:ascii="Arial" w:hAnsi="Arial" w:cs="Arial"/>
          <w:sz w:val="22"/>
          <w:szCs w:val="24"/>
        </w:rPr>
        <w:t xml:space="preserve">Appendix </w:t>
      </w:r>
      <w:r>
        <w:rPr>
          <w:rFonts w:ascii="Arial" w:hAnsi="Arial" w:cs="Arial"/>
          <w:sz w:val="22"/>
          <w:szCs w:val="24"/>
        </w:rPr>
        <w:t>III and IV.</w:t>
      </w:r>
      <w:r w:rsidRPr="00C11675">
        <w:rPr>
          <w:rFonts w:ascii="Arial" w:hAnsi="Arial" w:cs="Arial"/>
          <w:sz w:val="22"/>
          <w:szCs w:val="24"/>
        </w:rPr>
        <w:t xml:space="preserve"> For</w:t>
      </w:r>
      <w:r w:rsidR="000966E0">
        <w:rPr>
          <w:rFonts w:ascii="Arial" w:hAnsi="Arial" w:cs="Arial"/>
          <w:sz w:val="22"/>
          <w:szCs w:val="24"/>
        </w:rPr>
        <w:t xml:space="preserve"> revenue municipal bonds (if the institution is not “well capitalized”),</w:t>
      </w:r>
      <w:r w:rsidRPr="00C11675">
        <w:rPr>
          <w:rFonts w:ascii="Arial" w:hAnsi="Arial" w:cs="Arial"/>
          <w:sz w:val="22"/>
          <w:szCs w:val="24"/>
        </w:rPr>
        <w:t xml:space="preserve"> corporates, private-label CMOs, asset-backed securities and other non-agency issues, only</w:t>
      </w:r>
      <w:r w:rsidR="000966E0">
        <w:rPr>
          <w:rFonts w:ascii="Arial" w:hAnsi="Arial" w:cs="Arial"/>
          <w:sz w:val="22"/>
          <w:szCs w:val="24"/>
        </w:rPr>
        <w:t xml:space="preserve"> securities determined to be</w:t>
      </w:r>
      <w:r w:rsidRPr="00C11675">
        <w:rPr>
          <w:rFonts w:ascii="Arial" w:hAnsi="Arial" w:cs="Arial"/>
          <w:sz w:val="22"/>
          <w:szCs w:val="24"/>
        </w:rPr>
        <w:t xml:space="preserve"> </w:t>
      </w:r>
      <w:r>
        <w:rPr>
          <w:rFonts w:ascii="Arial" w:hAnsi="Arial" w:cs="Arial"/>
          <w:sz w:val="22"/>
          <w:szCs w:val="24"/>
        </w:rPr>
        <w:t>“</w:t>
      </w:r>
      <w:r w:rsidRPr="00C11675">
        <w:rPr>
          <w:rFonts w:ascii="Arial" w:hAnsi="Arial" w:cs="Arial"/>
          <w:sz w:val="22"/>
          <w:szCs w:val="24"/>
        </w:rPr>
        <w:t>investment grade</w:t>
      </w:r>
      <w:r w:rsidR="000966E0">
        <w:rPr>
          <w:rFonts w:ascii="Arial" w:hAnsi="Arial" w:cs="Arial"/>
          <w:sz w:val="22"/>
          <w:szCs w:val="24"/>
        </w:rPr>
        <w:t>”</w:t>
      </w:r>
      <w:r>
        <w:rPr>
          <w:rFonts w:ascii="Arial" w:hAnsi="Arial" w:cs="Arial"/>
          <w:sz w:val="22"/>
          <w:szCs w:val="24"/>
        </w:rPr>
        <w:t xml:space="preserve"> will be purchased as outlined in </w:t>
      </w:r>
      <w:r w:rsidR="00375B25">
        <w:rPr>
          <w:rFonts w:ascii="Arial" w:hAnsi="Arial" w:cs="Arial"/>
          <w:sz w:val="22"/>
          <w:szCs w:val="24"/>
        </w:rPr>
        <w:t xml:space="preserve">Appendix </w:t>
      </w:r>
      <w:r>
        <w:rPr>
          <w:rFonts w:ascii="Arial" w:hAnsi="Arial" w:cs="Arial"/>
          <w:sz w:val="22"/>
          <w:szCs w:val="24"/>
        </w:rPr>
        <w:t>III and IV.</w:t>
      </w:r>
    </w:p>
    <w:p w:rsidR="00F476C8" w:rsidP="0080169D">
      <w:pPr>
        <w:pStyle w:val="BodyText21"/>
        <w:rPr>
          <w:rFonts w:ascii="Arial" w:hAnsi="Arial" w:cs="Arial"/>
          <w:sz w:val="22"/>
          <w:szCs w:val="24"/>
        </w:rPr>
      </w:pPr>
    </w:p>
    <w:p w:rsidR="00F476C8" w:rsidRPr="00C11675" w:rsidP="00F476C8">
      <w:pPr>
        <w:pStyle w:val="Header"/>
        <w:ind w:left="360"/>
        <w:jc w:val="both"/>
        <w:rPr>
          <w:rFonts w:ascii="Arial" w:hAnsi="Arial" w:cs="Arial"/>
          <w:sz w:val="22"/>
          <w:szCs w:val="24"/>
        </w:rPr>
      </w:pPr>
      <w:r w:rsidRPr="00C11675">
        <w:rPr>
          <w:rFonts w:ascii="Arial" w:hAnsi="Arial" w:cs="Arial"/>
          <w:sz w:val="22"/>
          <w:szCs w:val="24"/>
        </w:rPr>
        <w:t>Securities</w:t>
      </w:r>
      <w:r>
        <w:rPr>
          <w:rFonts w:ascii="Arial" w:hAnsi="Arial" w:cs="Arial"/>
          <w:sz w:val="22"/>
          <w:szCs w:val="24"/>
        </w:rPr>
        <w:t xml:space="preserve"> that require</w:t>
      </w:r>
      <w:r w:rsidR="0072703F">
        <w:rPr>
          <w:rFonts w:ascii="Arial" w:hAnsi="Arial" w:cs="Arial"/>
          <w:sz w:val="22"/>
          <w:szCs w:val="24"/>
        </w:rPr>
        <w:t xml:space="preserve"> and pass</w:t>
      </w:r>
      <w:r w:rsidR="000966E0">
        <w:rPr>
          <w:rFonts w:ascii="Arial" w:hAnsi="Arial" w:cs="Arial"/>
          <w:sz w:val="22"/>
          <w:szCs w:val="24"/>
        </w:rPr>
        <w:t xml:space="preserve"> the</w:t>
      </w:r>
      <w:r w:rsidR="00C34BB1">
        <w:rPr>
          <w:rFonts w:ascii="Arial" w:hAnsi="Arial" w:cs="Arial"/>
          <w:sz w:val="22"/>
          <w:szCs w:val="24"/>
        </w:rPr>
        <w:t xml:space="preserve"> assessments listed on</w:t>
      </w:r>
      <w:r w:rsidRPr="00C11675">
        <w:rPr>
          <w:rFonts w:ascii="Arial" w:hAnsi="Arial" w:cs="Arial"/>
          <w:sz w:val="22"/>
          <w:szCs w:val="24"/>
        </w:rPr>
        <w:t xml:space="preserve"> </w:t>
      </w:r>
      <w:r w:rsidR="00375B25">
        <w:rPr>
          <w:rFonts w:ascii="Arial" w:hAnsi="Arial" w:cs="Arial"/>
          <w:sz w:val="22"/>
          <w:szCs w:val="24"/>
        </w:rPr>
        <w:t xml:space="preserve">Appendix </w:t>
      </w:r>
      <w:r w:rsidRPr="00C11675">
        <w:rPr>
          <w:rFonts w:ascii="Arial" w:hAnsi="Arial" w:cs="Arial"/>
          <w:sz w:val="22"/>
          <w:szCs w:val="24"/>
        </w:rPr>
        <w:t>I</w:t>
      </w:r>
      <w:r w:rsidR="00C34BB1">
        <w:rPr>
          <w:rFonts w:ascii="Arial" w:hAnsi="Arial" w:cs="Arial"/>
          <w:sz w:val="22"/>
          <w:szCs w:val="24"/>
        </w:rPr>
        <w:t>I</w:t>
      </w:r>
      <w:r w:rsidR="0080169D">
        <w:rPr>
          <w:rFonts w:ascii="Arial" w:hAnsi="Arial" w:cs="Arial"/>
          <w:sz w:val="22"/>
          <w:szCs w:val="24"/>
        </w:rPr>
        <w:t xml:space="preserve">, </w:t>
      </w:r>
      <w:r w:rsidR="00C34BB1">
        <w:rPr>
          <w:rFonts w:ascii="Arial" w:hAnsi="Arial" w:cs="Arial"/>
          <w:sz w:val="22"/>
          <w:szCs w:val="24"/>
        </w:rPr>
        <w:t>III</w:t>
      </w:r>
      <w:r w:rsidR="0080169D">
        <w:rPr>
          <w:rFonts w:ascii="Arial" w:hAnsi="Arial" w:cs="Arial"/>
          <w:sz w:val="22"/>
          <w:szCs w:val="24"/>
        </w:rPr>
        <w:t>, and IV</w:t>
      </w:r>
      <w:r w:rsidR="0072703F">
        <w:rPr>
          <w:rFonts w:ascii="Arial" w:hAnsi="Arial" w:cs="Arial"/>
          <w:sz w:val="22"/>
          <w:szCs w:val="24"/>
        </w:rPr>
        <w:t xml:space="preserve"> </w:t>
      </w:r>
      <w:r w:rsidRPr="00C11675">
        <w:rPr>
          <w:rFonts w:ascii="Arial" w:hAnsi="Arial" w:cs="Arial"/>
          <w:sz w:val="22"/>
          <w:szCs w:val="24"/>
        </w:rPr>
        <w:t>may be purchased by the investment officer designated above.  Other securities may be purchased with approval of no fewer than two Investment Committee members with subsequent approval at the next regularly scheduled board meeting.</w:t>
      </w:r>
      <w:r w:rsidR="004D2103">
        <w:rPr>
          <w:rFonts w:ascii="Arial" w:hAnsi="Arial" w:cs="Arial"/>
          <w:sz w:val="22"/>
          <w:szCs w:val="24"/>
        </w:rPr>
        <w:t xml:space="preserve">  Rational for each security purchase is required as listed in the “Credit Review Summary” in Appendix IV.</w:t>
      </w:r>
    </w:p>
    <w:p w:rsidR="004E70F3">
      <w:pPr>
        <w:pStyle w:val="BodyText21"/>
        <w:rPr>
          <w:rFonts w:ascii="Arial" w:hAnsi="Arial" w:cs="Arial"/>
          <w:sz w:val="22"/>
          <w:szCs w:val="24"/>
        </w:rPr>
      </w:pPr>
    </w:p>
    <w:p w:rsidR="004E70F3">
      <w:pPr>
        <w:pStyle w:val="BodyText21"/>
        <w:numPr>
          <w:ilvl w:val="0"/>
          <w:numId w:val="10"/>
        </w:numPr>
        <w:ind w:left="360"/>
        <w:rPr>
          <w:rFonts w:ascii="Arial" w:hAnsi="Arial" w:cs="Arial"/>
          <w:sz w:val="22"/>
          <w:szCs w:val="24"/>
        </w:rPr>
      </w:pPr>
      <w:r>
        <w:rPr>
          <w:rFonts w:ascii="Arial" w:hAnsi="Arial" w:cs="Arial"/>
          <w:sz w:val="22"/>
          <w:szCs w:val="24"/>
        </w:rPr>
        <w:t>Concentration Risk</w:t>
      </w:r>
    </w:p>
    <w:p w:rsidR="004E70F3">
      <w:pPr>
        <w:ind w:left="360"/>
        <w:jc w:val="both"/>
        <w:rPr>
          <w:rFonts w:ascii="Arial" w:hAnsi="Arial" w:cs="Arial"/>
          <w:sz w:val="22"/>
          <w:szCs w:val="24"/>
        </w:rPr>
      </w:pPr>
      <w:r w:rsidRPr="00C11675">
        <w:rPr>
          <w:rFonts w:ascii="Arial" w:hAnsi="Arial" w:cs="Arial"/>
          <w:sz w:val="22"/>
          <w:szCs w:val="24"/>
        </w:rPr>
        <w:t xml:space="preserve">The attached </w:t>
      </w:r>
      <w:r w:rsidR="00375B25">
        <w:rPr>
          <w:rFonts w:ascii="Arial" w:hAnsi="Arial" w:cs="Arial"/>
          <w:sz w:val="22"/>
          <w:szCs w:val="24"/>
        </w:rPr>
        <w:t xml:space="preserve">Appendix </w:t>
      </w:r>
      <w:r w:rsidRPr="00C11675">
        <w:rPr>
          <w:rFonts w:ascii="Arial" w:hAnsi="Arial" w:cs="Arial"/>
          <w:sz w:val="22"/>
          <w:szCs w:val="24"/>
        </w:rPr>
        <w:t>I</w:t>
      </w:r>
      <w:r w:rsidR="00F82E12">
        <w:rPr>
          <w:rFonts w:ascii="Arial" w:hAnsi="Arial" w:cs="Arial"/>
          <w:sz w:val="22"/>
          <w:szCs w:val="24"/>
        </w:rPr>
        <w:t>I</w:t>
      </w:r>
      <w:r w:rsidRPr="00C11675">
        <w:rPr>
          <w:rFonts w:ascii="Arial" w:hAnsi="Arial" w:cs="Arial"/>
          <w:sz w:val="22"/>
          <w:szCs w:val="24"/>
        </w:rPr>
        <w:t xml:space="preserve"> lists investments</w:t>
      </w:r>
      <w:r w:rsidR="00F476C8">
        <w:rPr>
          <w:rFonts w:ascii="Arial" w:hAnsi="Arial" w:cs="Arial"/>
          <w:sz w:val="22"/>
          <w:szCs w:val="24"/>
        </w:rPr>
        <w:t xml:space="preserve"> subject to concentration limits</w:t>
      </w:r>
      <w:r w:rsidR="00DC6679">
        <w:rPr>
          <w:rFonts w:ascii="Arial" w:hAnsi="Arial" w:cs="Arial"/>
          <w:sz w:val="22"/>
          <w:szCs w:val="24"/>
        </w:rPr>
        <w:t xml:space="preserve"> (corporate bonds, municipal government obligations, revenue bonds, and structured securities)</w:t>
      </w:r>
      <w:r w:rsidR="00F476C8">
        <w:rPr>
          <w:rFonts w:ascii="Arial" w:hAnsi="Arial" w:cs="Arial"/>
          <w:sz w:val="22"/>
          <w:szCs w:val="24"/>
        </w:rPr>
        <w:t>, which include issuer, geographic, obligations with similar characteristics and other limitations</w:t>
      </w:r>
      <w:r w:rsidR="00E728F7">
        <w:rPr>
          <w:rFonts w:ascii="Arial" w:hAnsi="Arial" w:cs="Arial"/>
          <w:sz w:val="22"/>
          <w:szCs w:val="24"/>
        </w:rPr>
        <w:t xml:space="preserve"> </w:t>
      </w:r>
      <w:r w:rsidRPr="00240B43" w:rsidR="00240B43">
        <w:rPr>
          <w:rFonts w:ascii="Arial" w:hAnsi="Arial" w:cs="Arial"/>
          <w:i/>
          <w:sz w:val="22"/>
          <w:szCs w:val="24"/>
        </w:rPr>
        <w:t>(as determined by the institution</w:t>
      </w:r>
      <w:r w:rsidR="005A5B66">
        <w:rPr>
          <w:rFonts w:ascii="Arial" w:hAnsi="Arial" w:cs="Arial"/>
          <w:sz w:val="22"/>
          <w:szCs w:val="24"/>
        </w:rPr>
        <w:t>)</w:t>
      </w:r>
      <w:r w:rsidR="00F476C8">
        <w:rPr>
          <w:rFonts w:ascii="Arial" w:hAnsi="Arial" w:cs="Arial"/>
          <w:sz w:val="22"/>
          <w:szCs w:val="24"/>
        </w:rPr>
        <w:t>.</w:t>
      </w:r>
      <w:r w:rsidR="00DC6679">
        <w:rPr>
          <w:rFonts w:ascii="Arial" w:hAnsi="Arial" w:cs="Arial"/>
          <w:sz w:val="22"/>
          <w:szCs w:val="24"/>
        </w:rPr>
        <w:t xml:space="preserve">  </w:t>
      </w:r>
      <w:r w:rsidRPr="00C11675" w:rsidR="00F82E12">
        <w:rPr>
          <w:rFonts w:ascii="Arial" w:hAnsi="Arial" w:cs="Arial"/>
          <w:sz w:val="22"/>
          <w:szCs w:val="24"/>
        </w:rPr>
        <w:t>On a periodic basis, the bank will review the</w:t>
      </w:r>
      <w:r w:rsidR="00F82E12">
        <w:rPr>
          <w:rFonts w:ascii="Arial" w:hAnsi="Arial" w:cs="Arial"/>
          <w:sz w:val="22"/>
          <w:szCs w:val="24"/>
        </w:rPr>
        <w:t xml:space="preserve"> concentrations of its investments with credit risk. If the concentration risk in these investments is </w:t>
      </w:r>
      <w:r w:rsidR="00DC6679">
        <w:rPr>
          <w:rFonts w:ascii="Arial" w:hAnsi="Arial" w:cs="Arial"/>
          <w:sz w:val="22"/>
          <w:szCs w:val="24"/>
        </w:rPr>
        <w:t xml:space="preserve">above the limits outlined in </w:t>
      </w:r>
      <w:r w:rsidR="00375B25">
        <w:rPr>
          <w:rFonts w:ascii="Arial" w:hAnsi="Arial" w:cs="Arial"/>
          <w:sz w:val="22"/>
          <w:szCs w:val="24"/>
        </w:rPr>
        <w:t xml:space="preserve">Appendix </w:t>
      </w:r>
      <w:r w:rsidR="00DC6679">
        <w:rPr>
          <w:rFonts w:ascii="Arial" w:hAnsi="Arial" w:cs="Arial"/>
          <w:sz w:val="22"/>
          <w:szCs w:val="24"/>
        </w:rPr>
        <w:t>II</w:t>
      </w:r>
      <w:r w:rsidRPr="00C11675" w:rsidR="00F82E12">
        <w:rPr>
          <w:rFonts w:ascii="Arial" w:hAnsi="Arial" w:cs="Arial"/>
          <w:sz w:val="22"/>
          <w:szCs w:val="24"/>
        </w:rPr>
        <w:t>, steps will be taken to</w:t>
      </w:r>
      <w:r w:rsidR="00F82E12">
        <w:rPr>
          <w:rFonts w:ascii="Arial" w:hAnsi="Arial" w:cs="Arial"/>
          <w:sz w:val="22"/>
          <w:szCs w:val="24"/>
        </w:rPr>
        <w:t xml:space="preserve"> document and</w:t>
      </w:r>
      <w:r w:rsidRPr="00C11675" w:rsidR="00F82E12">
        <w:rPr>
          <w:rFonts w:ascii="Arial" w:hAnsi="Arial" w:cs="Arial"/>
          <w:sz w:val="22"/>
          <w:szCs w:val="24"/>
        </w:rPr>
        <w:t xml:space="preserve"> monitor the amount</w:t>
      </w:r>
      <w:r w:rsidR="00F82E12">
        <w:rPr>
          <w:rFonts w:ascii="Arial" w:hAnsi="Arial" w:cs="Arial"/>
          <w:sz w:val="22"/>
          <w:szCs w:val="24"/>
        </w:rPr>
        <w:t xml:space="preserve"> of these concentrations</w:t>
      </w:r>
      <w:r w:rsidRPr="00C11675" w:rsidR="00F82E12">
        <w:rPr>
          <w:rFonts w:ascii="Arial" w:hAnsi="Arial" w:cs="Arial"/>
          <w:sz w:val="22"/>
          <w:szCs w:val="24"/>
        </w:rPr>
        <w:t xml:space="preserve"> along with the associated risks.</w:t>
      </w:r>
      <w:r w:rsidR="00F82E12">
        <w:rPr>
          <w:rFonts w:ascii="Arial" w:hAnsi="Arial" w:cs="Arial"/>
          <w:sz w:val="22"/>
          <w:szCs w:val="24"/>
        </w:rPr>
        <w:t xml:space="preserve"> </w:t>
      </w:r>
      <w:r w:rsidRPr="00C11675" w:rsidR="00F82E12">
        <w:rPr>
          <w:rFonts w:ascii="Arial" w:hAnsi="Arial" w:cs="Arial"/>
          <w:sz w:val="22"/>
          <w:szCs w:val="24"/>
        </w:rPr>
        <w:t>Exceptions will be reported to the board.</w:t>
      </w:r>
      <w:r w:rsidR="00F82E12">
        <w:rPr>
          <w:rFonts w:ascii="Arial" w:hAnsi="Arial" w:cs="Arial"/>
          <w:sz w:val="22"/>
          <w:szCs w:val="24"/>
        </w:rPr>
        <w:t xml:space="preserve">  </w:t>
      </w:r>
    </w:p>
    <w:p w:rsidR="004E70F3">
      <w:pPr>
        <w:pStyle w:val="BodyText21"/>
        <w:ind w:left="360"/>
        <w:rPr>
          <w:rFonts w:ascii="Arial" w:hAnsi="Arial" w:cs="Arial"/>
          <w:sz w:val="22"/>
          <w:szCs w:val="24"/>
        </w:rPr>
      </w:pPr>
    </w:p>
    <w:p w:rsidR="004E70F3">
      <w:pPr>
        <w:pStyle w:val="Heading2"/>
        <w:ind w:left="360"/>
        <w:rPr>
          <w:rFonts w:ascii="Arial" w:hAnsi="Arial" w:cs="Arial"/>
          <w:sz w:val="22"/>
          <w:szCs w:val="24"/>
          <w:u w:val="none"/>
        </w:rPr>
      </w:pPr>
      <w:r w:rsidRPr="00240B43">
        <w:rPr>
          <w:rFonts w:ascii="Arial" w:hAnsi="Arial" w:cs="Arial"/>
          <w:sz w:val="22"/>
          <w:szCs w:val="24"/>
          <w:u w:val="none"/>
        </w:rPr>
        <w:t>Sector Limitation Guidelines</w:t>
      </w:r>
    </w:p>
    <w:p w:rsidR="004E70F3">
      <w:pPr>
        <w:ind w:left="360"/>
        <w:rPr>
          <w:rFonts w:ascii="Arial" w:hAnsi="Arial" w:cs="Arial"/>
          <w:sz w:val="22"/>
          <w:szCs w:val="24"/>
        </w:rPr>
      </w:pPr>
    </w:p>
    <w:p w:rsidR="004E70F3">
      <w:pPr>
        <w:ind w:left="360"/>
        <w:jc w:val="both"/>
        <w:rPr>
          <w:rFonts w:ascii="Arial" w:hAnsi="Arial" w:cs="Arial"/>
          <w:sz w:val="22"/>
          <w:szCs w:val="24"/>
        </w:rPr>
      </w:pPr>
      <w:r w:rsidRPr="00C11675">
        <w:rPr>
          <w:rFonts w:ascii="Arial" w:hAnsi="Arial" w:cs="Arial"/>
          <w:sz w:val="22"/>
          <w:szCs w:val="24"/>
        </w:rPr>
        <w:t xml:space="preserve">Notwithstanding any of the limitations set forth above, </w:t>
      </w:r>
      <w:r w:rsidR="005A5B66">
        <w:rPr>
          <w:rFonts w:ascii="Arial" w:hAnsi="Arial" w:cs="Arial"/>
          <w:sz w:val="22"/>
          <w:szCs w:val="24"/>
        </w:rPr>
        <w:t>the institution</w:t>
      </w:r>
      <w:r w:rsidRPr="00C11675">
        <w:rPr>
          <w:rFonts w:ascii="Arial" w:hAnsi="Arial" w:cs="Arial"/>
          <w:sz w:val="22"/>
          <w:szCs w:val="24"/>
        </w:rPr>
        <w:t xml:space="preserve"> establish</w:t>
      </w:r>
      <w:r w:rsidR="005A5B66">
        <w:rPr>
          <w:rFonts w:ascii="Arial" w:hAnsi="Arial" w:cs="Arial"/>
          <w:sz w:val="22"/>
          <w:szCs w:val="24"/>
        </w:rPr>
        <w:t>es</w:t>
      </w:r>
      <w:r w:rsidRPr="00C11675">
        <w:rPr>
          <w:rFonts w:ascii="Arial" w:hAnsi="Arial" w:cs="Arial"/>
          <w:sz w:val="22"/>
          <w:szCs w:val="24"/>
        </w:rPr>
        <w:t xml:space="preserve"> the following guidelines for investments in certain sectors of the securities portfolio.</w:t>
      </w:r>
      <w:r w:rsidR="00FA491F">
        <w:rPr>
          <w:rFonts w:ascii="Arial" w:hAnsi="Arial" w:cs="Arial"/>
          <w:sz w:val="22"/>
          <w:szCs w:val="24"/>
        </w:rPr>
        <w:t xml:space="preserve">  </w:t>
      </w:r>
      <w:r w:rsidRPr="00C11675">
        <w:rPr>
          <w:rFonts w:ascii="Arial" w:hAnsi="Arial" w:cs="Arial"/>
          <w:sz w:val="22"/>
          <w:szCs w:val="24"/>
        </w:rPr>
        <w:t xml:space="preserve">Exceptions will be reported to the board. </w:t>
      </w:r>
    </w:p>
    <w:p w:rsidR="000F358E" w:rsidRPr="00C11675">
      <w:pPr>
        <w:tabs>
          <w:tab w:val="center" w:pos="3960"/>
          <w:tab w:val="center" w:pos="5760"/>
          <w:tab w:val="center" w:pos="7560"/>
        </w:tabs>
        <w:rPr>
          <w:rFonts w:ascii="Arial" w:hAnsi="Arial" w:cs="Arial"/>
          <w:sz w:val="22"/>
          <w:szCs w:val="24"/>
        </w:rPr>
      </w:pPr>
    </w:p>
    <w:p w:rsidR="000F358E" w:rsidRPr="00C11675">
      <w:pPr>
        <w:rPr>
          <w:rFonts w:ascii="Arial" w:hAnsi="Arial" w:cs="Arial"/>
          <w:i/>
          <w:sz w:val="22"/>
          <w:szCs w:val="24"/>
        </w:rPr>
      </w:pPr>
      <w:r w:rsidRPr="00C11675">
        <w:rPr>
          <w:rFonts w:ascii="Arial" w:hAnsi="Arial" w:cs="Arial"/>
          <w:i/>
          <w:sz w:val="22"/>
          <w:szCs w:val="24"/>
        </w:rPr>
        <w:t xml:space="preserve">[The percentage limits below are included for illustrative purposes only and can vary greatly from bank to bank.] </w:t>
      </w:r>
    </w:p>
    <w:p w:rsidR="000F358E" w:rsidRPr="00C11675">
      <w:pPr>
        <w:tabs>
          <w:tab w:val="center" w:pos="3960"/>
          <w:tab w:val="center" w:pos="5760"/>
          <w:tab w:val="center" w:pos="7560"/>
        </w:tabs>
        <w:rPr>
          <w:rFonts w:ascii="Arial" w:hAnsi="Arial" w:cs="Arial"/>
          <w:sz w:val="22"/>
          <w:szCs w:val="24"/>
        </w:rPr>
      </w:pPr>
    </w:p>
    <w:p w:rsidR="000F358E" w:rsidRPr="00C11675">
      <w:pPr>
        <w:tabs>
          <w:tab w:val="center" w:pos="3960"/>
          <w:tab w:val="center" w:pos="5760"/>
          <w:tab w:val="center" w:pos="7560"/>
        </w:tabs>
        <w:rPr>
          <w:rFonts w:ascii="Arial" w:hAnsi="Arial" w:cs="Arial"/>
          <w:szCs w:val="24"/>
          <w:u w:val="single"/>
        </w:rPr>
      </w:pPr>
      <w:r w:rsidRPr="00C11675">
        <w:rPr>
          <w:rFonts w:ascii="Arial" w:hAnsi="Arial" w:cs="Arial"/>
          <w:szCs w:val="24"/>
        </w:rPr>
        <w:tab/>
      </w:r>
      <w:r w:rsidRPr="00C11675">
        <w:rPr>
          <w:rFonts w:ascii="Arial" w:hAnsi="Arial" w:cs="Arial"/>
          <w:szCs w:val="24"/>
          <w:u w:val="single"/>
        </w:rPr>
        <w:t>Max % of Portfolio</w:t>
      </w:r>
      <w:r w:rsidRPr="00C11675">
        <w:rPr>
          <w:rFonts w:ascii="Arial" w:hAnsi="Arial" w:cs="Arial"/>
          <w:szCs w:val="24"/>
        </w:rPr>
        <w:tab/>
      </w:r>
      <w:r w:rsidRPr="00C11675">
        <w:rPr>
          <w:rFonts w:ascii="Arial" w:hAnsi="Arial" w:cs="Arial"/>
          <w:szCs w:val="24"/>
          <w:u w:val="single"/>
        </w:rPr>
        <w:t>Max % of Assets</w:t>
      </w:r>
      <w:r w:rsidRPr="00C11675">
        <w:rPr>
          <w:rFonts w:ascii="Arial" w:hAnsi="Arial" w:cs="Arial"/>
          <w:szCs w:val="24"/>
        </w:rPr>
        <w:tab/>
      </w:r>
      <w:r w:rsidRPr="00C11675">
        <w:rPr>
          <w:rFonts w:ascii="Arial" w:hAnsi="Arial" w:cs="Arial"/>
          <w:szCs w:val="24"/>
          <w:u w:val="single"/>
        </w:rPr>
        <w:t>Max % of Tier I Capital</w:t>
      </w:r>
    </w:p>
    <w:p w:rsidR="000F358E" w:rsidRPr="00C1167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sidRPr="00C11675">
        <w:rPr>
          <w:rFonts w:ascii="Arial" w:hAnsi="Arial" w:cs="Arial"/>
          <w:szCs w:val="24"/>
        </w:rPr>
        <w:t>Corporates</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620F05" w:rsidRPr="00C11675" w:rsidP="00620F0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Municipal Bonds</w:t>
      </w:r>
      <w:r w:rsidRPr="00C11675">
        <w:rPr>
          <w:rFonts w:ascii="Arial" w:hAnsi="Arial" w:cs="Arial"/>
          <w:szCs w:val="24"/>
        </w:rPr>
        <w:tab/>
      </w:r>
    </w:p>
    <w:p w:rsidR="0034167E" w:rsidP="00620F0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 xml:space="preserve">  -Revenue</w:t>
      </w:r>
      <w:r>
        <w:rPr>
          <w:rFonts w:ascii="Arial" w:hAnsi="Arial" w:cs="Arial"/>
          <w:szCs w:val="24"/>
        </w:rPr>
        <w:tab/>
      </w:r>
      <w:r w:rsidRPr="00C11675">
        <w:rPr>
          <w:rFonts w:ascii="Arial" w:hAnsi="Arial" w:cs="Arial"/>
          <w:szCs w:val="24"/>
        </w:rPr>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34167E" w:rsidP="00620F0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 xml:space="preserve">  -General Obligation</w:t>
      </w:r>
      <w:r>
        <w:rPr>
          <w:rFonts w:ascii="Arial" w:hAnsi="Arial" w:cs="Arial"/>
          <w:szCs w:val="24"/>
        </w:rPr>
        <w:tab/>
      </w:r>
      <w:r w:rsidRPr="00C11675">
        <w:rPr>
          <w:rFonts w:ascii="Arial" w:hAnsi="Arial" w:cs="Arial"/>
          <w:szCs w:val="24"/>
        </w:rPr>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620F05" w:rsidRPr="00C11675" w:rsidP="00620F0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Asset-backed securities</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620F05" w:rsidRPr="00C11675" w:rsidP="00620F0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Private label CMOs</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5A5B66" w:rsidRPr="00C11675" w:rsidP="005A5B66">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sidRPr="00C11675">
        <w:rPr>
          <w:rFonts w:ascii="Arial" w:hAnsi="Arial" w:cs="Arial"/>
          <w:szCs w:val="24"/>
        </w:rPr>
        <w:t>[</w:t>
      </w:r>
      <w:r w:rsidRPr="00C11675">
        <w:rPr>
          <w:rFonts w:ascii="Arial" w:hAnsi="Arial" w:cs="Arial"/>
          <w:i/>
          <w:szCs w:val="24"/>
        </w:rPr>
        <w:t>Type of security</w:t>
      </w:r>
      <w:r w:rsidRPr="00C11675">
        <w:rPr>
          <w:rFonts w:ascii="Arial" w:hAnsi="Arial" w:cs="Arial"/>
          <w:szCs w:val="24"/>
        </w:rPr>
        <w:t>]</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5A5B66">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b/>
          <w:i/>
          <w:szCs w:val="24"/>
        </w:rPr>
      </w:pPr>
    </w:p>
    <w:p w:rsidR="000F358E" w:rsidRPr="00C1167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sidRPr="00240B43">
        <w:rPr>
          <w:rFonts w:ascii="Arial" w:hAnsi="Arial" w:cs="Arial"/>
          <w:b/>
          <w:i/>
          <w:szCs w:val="24"/>
        </w:rPr>
        <w:t>Optional</w:t>
      </w:r>
      <w:r w:rsidRPr="00C11675">
        <w:rPr>
          <w:rFonts w:ascii="Arial" w:hAnsi="Arial" w:cs="Arial"/>
          <w:szCs w:val="24"/>
        </w:rPr>
        <w:tab/>
      </w:r>
    </w:p>
    <w:p w:rsidR="00E264A6">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Treasuries</w:t>
      </w:r>
      <w:r w:rsidR="0034167E">
        <w:rPr>
          <w:rFonts w:ascii="Arial" w:hAnsi="Arial" w:cs="Arial"/>
          <w:szCs w:val="24"/>
        </w:rPr>
        <w:t xml:space="preserve">                                        </w:t>
      </w:r>
      <w:r w:rsidRPr="00C11675" w:rsidR="0034167E">
        <w:rPr>
          <w:rFonts w:ascii="Arial" w:hAnsi="Arial" w:cs="Arial"/>
          <w:szCs w:val="24"/>
        </w:rPr>
        <w:t>_______________</w:t>
      </w:r>
      <w:r w:rsidRPr="00C11675" w:rsidR="0034167E">
        <w:rPr>
          <w:rFonts w:ascii="Arial" w:hAnsi="Arial" w:cs="Arial"/>
          <w:szCs w:val="24"/>
        </w:rPr>
        <w:tab/>
        <w:t>______________</w:t>
      </w:r>
      <w:r w:rsidRPr="00C11675" w:rsidR="0034167E">
        <w:rPr>
          <w:rFonts w:ascii="Arial" w:hAnsi="Arial" w:cs="Arial"/>
          <w:szCs w:val="24"/>
        </w:rPr>
        <w:tab/>
      </w:r>
      <w:r w:rsidRPr="00C11675" w:rsidR="0034167E">
        <w:rPr>
          <w:rFonts w:ascii="Arial" w:hAnsi="Arial" w:cs="Arial"/>
          <w:szCs w:val="24"/>
        </w:rPr>
        <w:tab/>
        <w:t>______________</w:t>
      </w:r>
    </w:p>
    <w:p w:rsidR="00E264A6">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Agencies</w:t>
      </w:r>
      <w:r w:rsidR="0034167E">
        <w:rPr>
          <w:rFonts w:ascii="Arial" w:hAnsi="Arial" w:cs="Arial"/>
          <w:szCs w:val="24"/>
        </w:rPr>
        <w:tab/>
      </w:r>
      <w:r w:rsidRPr="00C11675" w:rsidR="0034167E">
        <w:rPr>
          <w:rFonts w:ascii="Arial" w:hAnsi="Arial" w:cs="Arial"/>
          <w:szCs w:val="24"/>
        </w:rPr>
        <w:t>_______________</w:t>
      </w:r>
      <w:r w:rsidRPr="00C11675" w:rsidR="0034167E">
        <w:rPr>
          <w:rFonts w:ascii="Arial" w:hAnsi="Arial" w:cs="Arial"/>
          <w:szCs w:val="24"/>
        </w:rPr>
        <w:tab/>
        <w:t>______________</w:t>
      </w:r>
      <w:r w:rsidRPr="00C11675" w:rsidR="0034167E">
        <w:rPr>
          <w:rFonts w:ascii="Arial" w:hAnsi="Arial" w:cs="Arial"/>
          <w:szCs w:val="24"/>
        </w:rPr>
        <w:tab/>
      </w:r>
      <w:r w:rsidRPr="00C11675" w:rsidR="0034167E">
        <w:rPr>
          <w:rFonts w:ascii="Arial" w:hAnsi="Arial" w:cs="Arial"/>
          <w:szCs w:val="24"/>
        </w:rPr>
        <w:tab/>
        <w:t>______________</w:t>
      </w:r>
    </w:p>
    <w:p w:rsidR="00E264A6">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Mortgage-Backed Securities, ARMS, CMOs issued by GSEs</w:t>
      </w:r>
    </w:p>
    <w:p w:rsidR="00E264A6">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SBA Pools, DCPC, and other SBA guaranteed securities</w:t>
      </w:r>
    </w:p>
    <w:p w:rsidR="000F358E" w:rsidRPr="00C1167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Pr>
          <w:rFonts w:ascii="Arial" w:hAnsi="Arial" w:cs="Arial"/>
          <w:szCs w:val="24"/>
        </w:rPr>
        <w:t>FDIC Insured CDs</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0F358E" w:rsidRPr="00C1167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sidRPr="00C11675">
        <w:rPr>
          <w:rFonts w:ascii="Arial" w:hAnsi="Arial" w:cs="Arial"/>
          <w:szCs w:val="24"/>
        </w:rPr>
        <w:t>[</w:t>
      </w:r>
      <w:r w:rsidRPr="00C11675">
        <w:rPr>
          <w:rFonts w:ascii="Arial" w:hAnsi="Arial" w:cs="Arial"/>
          <w:i/>
          <w:szCs w:val="24"/>
        </w:rPr>
        <w:t>Type of security</w:t>
      </w:r>
      <w:r w:rsidRPr="00C11675">
        <w:rPr>
          <w:rFonts w:ascii="Arial" w:hAnsi="Arial" w:cs="Arial"/>
          <w:szCs w:val="24"/>
        </w:rPr>
        <w:t>]</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0F358E" w:rsidRPr="00C11675">
      <w:pPr>
        <w:pStyle w:val="Header"/>
        <w:tabs>
          <w:tab w:val="center" w:pos="3960"/>
          <w:tab w:val="clear" w:pos="4320"/>
          <w:tab w:val="left" w:pos="5040"/>
          <w:tab w:val="center" w:pos="5760"/>
          <w:tab w:val="right" w:leader="underscore" w:pos="6480"/>
          <w:tab w:val="left" w:pos="6840"/>
          <w:tab w:val="center" w:pos="7560"/>
          <w:tab w:val="right" w:leader="underscore" w:pos="8280"/>
          <w:tab w:val="clear" w:pos="8640"/>
        </w:tabs>
        <w:rPr>
          <w:rFonts w:ascii="Arial" w:hAnsi="Arial" w:cs="Arial"/>
          <w:szCs w:val="24"/>
        </w:rPr>
      </w:pPr>
      <w:r w:rsidRPr="00C11675">
        <w:rPr>
          <w:rFonts w:ascii="Arial" w:hAnsi="Arial" w:cs="Arial"/>
          <w:szCs w:val="24"/>
        </w:rPr>
        <w:t>[</w:t>
      </w:r>
      <w:r w:rsidRPr="00C11675">
        <w:rPr>
          <w:rFonts w:ascii="Arial" w:hAnsi="Arial" w:cs="Arial"/>
          <w:i/>
          <w:szCs w:val="24"/>
        </w:rPr>
        <w:t>Type of security</w:t>
      </w:r>
      <w:r w:rsidRPr="00C11675">
        <w:rPr>
          <w:rFonts w:ascii="Arial" w:hAnsi="Arial" w:cs="Arial"/>
          <w:szCs w:val="24"/>
        </w:rPr>
        <w:t>]</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0F358E" w:rsidRPr="00C11675">
      <w:pPr>
        <w:pStyle w:val="Header"/>
        <w:tabs>
          <w:tab w:val="clear" w:pos="4320"/>
          <w:tab w:val="left" w:pos="5040"/>
          <w:tab w:val="right" w:leader="underscore" w:pos="6480"/>
          <w:tab w:val="left" w:pos="6840"/>
          <w:tab w:val="right" w:leader="underscore" w:pos="8280"/>
          <w:tab w:val="clear" w:pos="8640"/>
        </w:tabs>
        <w:rPr>
          <w:rFonts w:ascii="Arial" w:hAnsi="Arial" w:cs="Arial"/>
          <w:sz w:val="22"/>
          <w:szCs w:val="24"/>
        </w:rPr>
      </w:pPr>
    </w:p>
    <w:p w:rsidR="000F358E" w:rsidRPr="00C11675">
      <w:pPr>
        <w:pStyle w:val="Header"/>
        <w:tabs>
          <w:tab w:val="clear" w:pos="4320"/>
          <w:tab w:val="left" w:pos="5040"/>
          <w:tab w:val="right" w:leader="underscore" w:pos="6480"/>
          <w:tab w:val="left" w:pos="6840"/>
          <w:tab w:val="right" w:leader="underscore" w:pos="8280"/>
          <w:tab w:val="clear" w:pos="8640"/>
        </w:tabs>
        <w:rPr>
          <w:rFonts w:ascii="Arial" w:hAnsi="Arial" w:cs="Arial"/>
          <w:sz w:val="22"/>
          <w:szCs w:val="24"/>
        </w:rPr>
      </w:pPr>
      <w:r w:rsidRPr="00C11675">
        <w:rPr>
          <w:rFonts w:ascii="Arial" w:hAnsi="Arial" w:cs="Arial"/>
          <w:sz w:val="22"/>
          <w:szCs w:val="24"/>
        </w:rPr>
        <w:t xml:space="preserve">The total of each of these columns may be greater than 100%. </w:t>
      </w:r>
    </w:p>
    <w:p w:rsidR="000F358E" w:rsidRPr="00C11675">
      <w:pPr>
        <w:pStyle w:val="Header"/>
        <w:tabs>
          <w:tab w:val="clear" w:pos="4320"/>
          <w:tab w:val="left" w:pos="5040"/>
          <w:tab w:val="right" w:leader="underscore" w:pos="6480"/>
          <w:tab w:val="left" w:pos="6840"/>
          <w:tab w:val="right" w:leader="underscore" w:pos="8280"/>
          <w:tab w:val="clear" w:pos="8640"/>
        </w:tabs>
        <w:rPr>
          <w:rFonts w:ascii="Arial" w:hAnsi="Arial" w:cs="Arial"/>
          <w:sz w:val="22"/>
          <w:szCs w:val="24"/>
        </w:rPr>
      </w:pPr>
    </w:p>
    <w:p w:rsidR="000F358E" w:rsidRPr="00C11675">
      <w:pPr>
        <w:pStyle w:val="Header"/>
        <w:tabs>
          <w:tab w:val="clear" w:pos="4320"/>
          <w:tab w:val="left" w:pos="5040"/>
          <w:tab w:val="right" w:leader="underscore" w:pos="6480"/>
          <w:tab w:val="left" w:pos="6840"/>
          <w:tab w:val="right" w:leader="underscore" w:pos="8280"/>
          <w:tab w:val="clear" w:pos="8640"/>
        </w:tabs>
        <w:rPr>
          <w:rFonts w:ascii="Arial" w:hAnsi="Arial" w:cs="Arial"/>
          <w:i/>
          <w:sz w:val="22"/>
          <w:szCs w:val="24"/>
        </w:rPr>
      </w:pPr>
      <w:r w:rsidRPr="00C11675">
        <w:rPr>
          <w:rFonts w:ascii="Arial" w:hAnsi="Arial" w:cs="Arial"/>
          <w:sz w:val="22"/>
          <w:szCs w:val="24"/>
        </w:rPr>
        <w:t>[</w:t>
      </w:r>
      <w:r w:rsidRPr="00C11675">
        <w:rPr>
          <w:rFonts w:ascii="Arial" w:hAnsi="Arial" w:cs="Arial"/>
          <w:i/>
          <w:sz w:val="22"/>
          <w:szCs w:val="24"/>
        </w:rPr>
        <w:t>For institutions subject to the Alternative Minimum Tax, investments in tax-free municipal bonds should not exceed an amount which would trigger the Alternative Minimum Tax for an extended period of years.</w:t>
      </w:r>
    </w:p>
    <w:p w:rsidR="000F358E">
      <w:pPr>
        <w:pStyle w:val="Header"/>
        <w:tabs>
          <w:tab w:val="clear" w:pos="4320"/>
          <w:tab w:val="left" w:pos="5040"/>
          <w:tab w:val="right" w:leader="underscore" w:pos="6480"/>
          <w:tab w:val="left" w:pos="6840"/>
          <w:tab w:val="right" w:leader="underscore" w:pos="8280"/>
          <w:tab w:val="clear" w:pos="8640"/>
        </w:tabs>
        <w:rPr>
          <w:rFonts w:ascii="Arial" w:hAnsi="Arial" w:cs="Arial"/>
          <w:sz w:val="22"/>
          <w:szCs w:val="24"/>
        </w:rPr>
      </w:pPr>
      <w:r w:rsidRPr="00C11675">
        <w:rPr>
          <w:rFonts w:ascii="Arial" w:hAnsi="Arial" w:cs="Arial"/>
          <w:i/>
          <w:sz w:val="22"/>
          <w:szCs w:val="24"/>
        </w:rPr>
        <w:t>For S corporations, income from tax-free municipal bonds and loans should not exceed expected retained earnings.</w:t>
      </w:r>
      <w:r w:rsidRPr="00C11675">
        <w:rPr>
          <w:rFonts w:ascii="Arial" w:hAnsi="Arial" w:cs="Arial"/>
          <w:sz w:val="22"/>
          <w:szCs w:val="24"/>
        </w:rPr>
        <w:t>]</w:t>
      </w:r>
    </w:p>
    <w:p w:rsidR="0080169D">
      <w:pPr>
        <w:pStyle w:val="Header"/>
        <w:tabs>
          <w:tab w:val="clear" w:pos="4320"/>
          <w:tab w:val="left" w:pos="5040"/>
          <w:tab w:val="right" w:leader="underscore" w:pos="6480"/>
          <w:tab w:val="left" w:pos="6840"/>
          <w:tab w:val="right" w:leader="underscore" w:pos="8280"/>
          <w:tab w:val="clear" w:pos="8640"/>
        </w:tabs>
        <w:rPr>
          <w:rFonts w:ascii="Arial" w:hAnsi="Arial" w:cs="Arial"/>
          <w:sz w:val="22"/>
          <w:szCs w:val="24"/>
        </w:rPr>
      </w:pPr>
    </w:p>
    <w:p w:rsidR="00EF52DB" w:rsidRPr="00C11675" w:rsidP="00EF52DB">
      <w:pPr>
        <w:pStyle w:val="BodyText21"/>
        <w:rPr>
          <w:rFonts w:ascii="Arial" w:hAnsi="Arial" w:cs="Arial"/>
          <w:sz w:val="22"/>
          <w:szCs w:val="24"/>
        </w:rPr>
      </w:pPr>
      <w:r w:rsidRPr="00C11675">
        <w:rPr>
          <w:rFonts w:ascii="Arial" w:hAnsi="Arial" w:cs="Arial"/>
          <w:sz w:val="22"/>
          <w:szCs w:val="24"/>
        </w:rPr>
        <w:t xml:space="preserve">Aggregate ownership of securities from a single issuer will be limited to the limitations set by the OCC. For Type III (corporate and municipal) securities this is 10% of capital. The limit will also apply to derivative contracts and be based on the greatest market value the contract is projected to have under plus and minus 100, 200, and 300 basis point scenarios. </w:t>
      </w:r>
    </w:p>
    <w:p w:rsidR="00EF52DB" w:rsidRPr="00C11675" w:rsidP="00EF52DB">
      <w:pPr>
        <w:pStyle w:val="BodyText21"/>
        <w:rPr>
          <w:rFonts w:ascii="Arial" w:hAnsi="Arial" w:cs="Arial"/>
          <w:sz w:val="22"/>
          <w:szCs w:val="24"/>
        </w:rPr>
      </w:pPr>
    </w:p>
    <w:p w:rsidR="00EF52DB" w:rsidRPr="00C11675" w:rsidP="00EF52DB">
      <w:pPr>
        <w:pStyle w:val="BodyText21"/>
        <w:rPr>
          <w:rFonts w:ascii="Arial" w:hAnsi="Arial" w:cs="Arial"/>
          <w:sz w:val="22"/>
          <w:szCs w:val="24"/>
        </w:rPr>
      </w:pPr>
      <w:r w:rsidRPr="00C11675">
        <w:rPr>
          <w:rFonts w:ascii="Arial" w:hAnsi="Arial" w:cs="Arial"/>
          <w:sz w:val="22"/>
          <w:szCs w:val="24"/>
        </w:rPr>
        <w:t>For asset-backed securities</w:t>
      </w:r>
      <w:r>
        <w:rPr>
          <w:rFonts w:ascii="Arial" w:hAnsi="Arial" w:cs="Arial"/>
          <w:sz w:val="22"/>
          <w:szCs w:val="24"/>
        </w:rPr>
        <w:t xml:space="preserve"> determined to be “investment grade”</w:t>
      </w:r>
      <w:r w:rsidRPr="00C11675">
        <w:rPr>
          <w:rFonts w:ascii="Arial" w:hAnsi="Arial" w:cs="Arial"/>
          <w:sz w:val="22"/>
          <w:szCs w:val="24"/>
        </w:rPr>
        <w:t xml:space="preserve"> and backed by a pool of loans/leases to large and diverse group borrowers, purchases will be limited to 25% of capital per issuer. </w:t>
      </w:r>
    </w:p>
    <w:p w:rsidR="004E70F3">
      <w:pPr>
        <w:pStyle w:val="BodyText21"/>
        <w:tabs>
          <w:tab w:val="right" w:leader="underscore" w:pos="7200"/>
        </w:tabs>
        <w:suppressAutoHyphens/>
        <w:ind w:left="360"/>
        <w:rPr>
          <w:rFonts w:ascii="Arial" w:hAnsi="Arial" w:cs="Arial"/>
          <w:sz w:val="22"/>
          <w:szCs w:val="24"/>
        </w:rPr>
      </w:pPr>
    </w:p>
    <w:p w:rsidR="00D023FF">
      <w:pPr>
        <w:pStyle w:val="BodyText21"/>
        <w:tabs>
          <w:tab w:val="right" w:leader="underscore" w:pos="7200"/>
        </w:tabs>
        <w:suppressAutoHyphens/>
        <w:rPr>
          <w:rFonts w:ascii="Arial" w:hAnsi="Arial" w:cs="Arial"/>
          <w:sz w:val="22"/>
          <w:szCs w:val="24"/>
        </w:rPr>
      </w:pPr>
      <w:r w:rsidRPr="00C11675">
        <w:rPr>
          <w:rFonts w:ascii="Arial" w:hAnsi="Arial" w:cs="Arial"/>
          <w:sz w:val="22"/>
          <w:szCs w:val="24"/>
        </w:rPr>
        <w:t>The portfolio manager is also given authority to purchase instruments that would not neatly or naturally fit into any of the categories above. However, such instruments</w:t>
      </w:r>
      <w:r w:rsidR="00583F4D">
        <w:rPr>
          <w:rFonts w:ascii="Arial" w:hAnsi="Arial" w:cs="Arial"/>
          <w:sz w:val="22"/>
          <w:szCs w:val="24"/>
        </w:rPr>
        <w:t xml:space="preserve"> are subject to the pre purchase interest rate risk and credit risk assessments outlined in the policy, and</w:t>
      </w:r>
      <w:r w:rsidRPr="00C11675">
        <w:rPr>
          <w:rFonts w:ascii="Arial" w:hAnsi="Arial" w:cs="Arial"/>
          <w:sz w:val="22"/>
          <w:szCs w:val="24"/>
        </w:rPr>
        <w:t xml:space="preserve"> require the approval of at least two investment committee members</w:t>
      </w:r>
      <w:r>
        <w:rPr>
          <w:rFonts w:ascii="Arial" w:hAnsi="Arial" w:cs="Arial"/>
          <w:sz w:val="22"/>
          <w:szCs w:val="24"/>
        </w:rPr>
        <w:t>.</w:t>
      </w:r>
    </w:p>
    <w:p w:rsidR="000F358E" w:rsidRPr="00C11675">
      <w:pPr>
        <w:rPr>
          <w:rFonts w:ascii="Arial" w:hAnsi="Arial" w:cs="Arial"/>
          <w:sz w:val="22"/>
          <w:szCs w:val="24"/>
        </w:rPr>
      </w:pPr>
    </w:p>
    <w:p w:rsidR="004E70F3">
      <w:pPr>
        <w:pStyle w:val="Heading2"/>
        <w:suppressAutoHyphens/>
      </w:pPr>
      <w:r>
        <w:rPr>
          <w:rFonts w:ascii="Arial" w:hAnsi="Arial" w:cs="Arial"/>
          <w:sz w:val="22"/>
          <w:szCs w:val="24"/>
          <w:u w:val="none"/>
        </w:rPr>
        <w:t>E</w:t>
      </w:r>
      <w:r w:rsidR="00FD164A">
        <w:rPr>
          <w:rFonts w:ascii="Arial" w:hAnsi="Arial" w:cs="Arial"/>
          <w:sz w:val="22"/>
          <w:szCs w:val="24"/>
          <w:u w:val="none"/>
        </w:rPr>
        <w:t xml:space="preserve">.   </w:t>
      </w:r>
      <w:r w:rsidRPr="00240B43" w:rsidR="00240B43">
        <w:rPr>
          <w:rFonts w:ascii="Arial" w:hAnsi="Arial" w:cs="Arial"/>
          <w:sz w:val="22"/>
          <w:szCs w:val="24"/>
          <w:u w:val="none"/>
        </w:rPr>
        <w:t>Investments and Investment Activities Requiring Investment Committee Approval</w:t>
      </w:r>
    </w:p>
    <w:p w:rsidR="004E70F3">
      <w:pPr>
        <w:pStyle w:val="BodyText21"/>
        <w:suppressAutoHyphens/>
        <w:ind w:left="360"/>
        <w:rPr>
          <w:rFonts w:ascii="Arial" w:hAnsi="Arial" w:cs="Arial"/>
          <w:sz w:val="22"/>
          <w:szCs w:val="24"/>
        </w:rPr>
      </w:pPr>
      <w:r w:rsidRPr="00C11675">
        <w:rPr>
          <w:rFonts w:ascii="Arial" w:hAnsi="Arial" w:cs="Arial"/>
          <w:sz w:val="22"/>
          <w:szCs w:val="24"/>
        </w:rPr>
        <w:t>These securities may not be purchased by the institution unless specifically approved in writing by the Investment Committee:</w:t>
      </w:r>
    </w:p>
    <w:p w:rsidR="004E70F3">
      <w:pPr>
        <w:numPr>
          <w:ilvl w:val="0"/>
          <w:numId w:val="4"/>
        </w:numPr>
        <w:suppressAutoHyphens/>
        <w:ind w:left="720"/>
        <w:rPr>
          <w:rFonts w:ascii="Arial" w:hAnsi="Arial" w:cs="Arial"/>
          <w:sz w:val="22"/>
          <w:szCs w:val="24"/>
        </w:rPr>
      </w:pPr>
      <w:r w:rsidRPr="00C11675">
        <w:rPr>
          <w:rFonts w:ascii="Arial" w:hAnsi="Arial" w:cs="Arial"/>
          <w:sz w:val="22"/>
          <w:szCs w:val="24"/>
        </w:rPr>
        <w:t xml:space="preserve">Bonds rated below </w:t>
      </w:r>
      <w:r w:rsidR="00E264A6">
        <w:rPr>
          <w:rFonts w:ascii="Arial" w:hAnsi="Arial" w:cs="Arial"/>
          <w:sz w:val="22"/>
          <w:szCs w:val="24"/>
        </w:rPr>
        <w:t>“</w:t>
      </w:r>
      <w:r w:rsidRPr="00C11675">
        <w:rPr>
          <w:rFonts w:ascii="Arial" w:hAnsi="Arial" w:cs="Arial"/>
          <w:sz w:val="22"/>
          <w:szCs w:val="24"/>
        </w:rPr>
        <w:t>investment grade</w:t>
      </w:r>
      <w:r w:rsidR="00E264A6">
        <w:rPr>
          <w:rFonts w:ascii="Arial" w:hAnsi="Arial" w:cs="Arial"/>
          <w:sz w:val="22"/>
          <w:szCs w:val="24"/>
        </w:rPr>
        <w:t>” as defined in section V.C</w:t>
      </w:r>
      <w:r w:rsidR="00302797">
        <w:rPr>
          <w:rFonts w:ascii="Arial" w:hAnsi="Arial" w:cs="Arial"/>
          <w:sz w:val="22"/>
          <w:szCs w:val="24"/>
        </w:rPr>
        <w:t>., if investment grade assessment is required</w:t>
      </w:r>
    </w:p>
    <w:p w:rsidR="004E70F3">
      <w:pPr>
        <w:numPr>
          <w:ilvl w:val="0"/>
          <w:numId w:val="4"/>
        </w:numPr>
        <w:suppressAutoHyphens/>
        <w:ind w:left="720"/>
        <w:rPr>
          <w:rFonts w:ascii="Arial" w:hAnsi="Arial" w:cs="Arial"/>
          <w:sz w:val="22"/>
          <w:szCs w:val="24"/>
        </w:rPr>
      </w:pPr>
      <w:r w:rsidRPr="00C11675">
        <w:rPr>
          <w:rFonts w:ascii="Arial" w:hAnsi="Arial" w:cs="Arial"/>
          <w:sz w:val="22"/>
          <w:szCs w:val="24"/>
        </w:rPr>
        <w:t>Securities where some portion of the principal investment amount is at risk for reasons other than credit risk (e.g., residual CMO tranches)</w:t>
      </w:r>
    </w:p>
    <w:p w:rsidR="004E70F3">
      <w:pPr>
        <w:numPr>
          <w:ilvl w:val="0"/>
          <w:numId w:val="4"/>
        </w:numPr>
        <w:suppressAutoHyphens/>
        <w:ind w:firstLine="0"/>
        <w:rPr>
          <w:rFonts w:ascii="Arial" w:hAnsi="Arial" w:cs="Arial"/>
          <w:sz w:val="22"/>
          <w:szCs w:val="24"/>
        </w:rPr>
      </w:pPr>
      <w:r w:rsidRPr="00C11675">
        <w:rPr>
          <w:rFonts w:ascii="Arial" w:hAnsi="Arial" w:cs="Arial"/>
          <w:sz w:val="22"/>
          <w:szCs w:val="24"/>
        </w:rPr>
        <w:t>Mortgage-related, interest-only strips</w:t>
      </w:r>
    </w:p>
    <w:p w:rsidR="004E70F3">
      <w:pPr>
        <w:numPr>
          <w:ilvl w:val="0"/>
          <w:numId w:val="4"/>
        </w:numPr>
        <w:suppressAutoHyphens/>
        <w:ind w:firstLine="0"/>
        <w:rPr>
          <w:rFonts w:ascii="Arial" w:hAnsi="Arial" w:cs="Arial"/>
          <w:sz w:val="22"/>
          <w:szCs w:val="24"/>
        </w:rPr>
      </w:pPr>
      <w:r w:rsidRPr="00C11675">
        <w:rPr>
          <w:rFonts w:ascii="Arial" w:hAnsi="Arial" w:cs="Arial"/>
          <w:sz w:val="22"/>
          <w:szCs w:val="24"/>
        </w:rPr>
        <w:t>Non-rated municipals that are either out-of-state or revenue bonds</w:t>
      </w:r>
    </w:p>
    <w:p w:rsidR="004E70F3">
      <w:pPr>
        <w:numPr>
          <w:ilvl w:val="0"/>
          <w:numId w:val="4"/>
        </w:numPr>
        <w:suppressAutoHyphens/>
        <w:ind w:firstLine="0"/>
        <w:rPr>
          <w:rFonts w:ascii="Arial" w:hAnsi="Arial" w:cs="Arial"/>
          <w:sz w:val="22"/>
          <w:szCs w:val="24"/>
        </w:rPr>
      </w:pPr>
      <w:r w:rsidRPr="00C11675">
        <w:rPr>
          <w:rFonts w:ascii="Arial" w:hAnsi="Arial" w:cs="Arial"/>
          <w:sz w:val="22"/>
          <w:szCs w:val="24"/>
        </w:rPr>
        <w:t>Zero coupon bonds with maturities in excess of ten years</w:t>
      </w:r>
    </w:p>
    <w:p w:rsidR="004E70F3">
      <w:pPr>
        <w:numPr>
          <w:ilvl w:val="0"/>
          <w:numId w:val="4"/>
        </w:numPr>
        <w:suppressAutoHyphens/>
        <w:ind w:left="720"/>
        <w:rPr>
          <w:rFonts w:ascii="Arial" w:hAnsi="Arial" w:cs="Arial"/>
          <w:sz w:val="22"/>
          <w:szCs w:val="24"/>
        </w:rPr>
      </w:pPr>
      <w:r w:rsidRPr="00C11675">
        <w:rPr>
          <w:rFonts w:ascii="Arial" w:hAnsi="Arial" w:cs="Arial"/>
          <w:sz w:val="22"/>
          <w:szCs w:val="24"/>
        </w:rPr>
        <w:t>Any instrument whose price might decline in excess of 25% of the purchase price if rates were to move +/- 300 basis points in an immediate, parallel and sustained fashion</w:t>
      </w:r>
    </w:p>
    <w:p w:rsidR="000F358E" w:rsidRPr="00C11675">
      <w:pPr>
        <w:suppressAutoHyphens/>
        <w:rPr>
          <w:rFonts w:ascii="Arial" w:hAnsi="Arial" w:cs="Arial"/>
          <w:sz w:val="22"/>
          <w:szCs w:val="24"/>
        </w:rPr>
      </w:pPr>
    </w:p>
    <w:p w:rsidR="000F358E" w:rsidRPr="00C11675">
      <w:pPr>
        <w:pStyle w:val="BodyText21"/>
        <w:suppressAutoHyphens/>
        <w:rPr>
          <w:rFonts w:ascii="Arial" w:hAnsi="Arial" w:cs="Arial"/>
          <w:sz w:val="22"/>
          <w:szCs w:val="24"/>
        </w:rPr>
      </w:pPr>
      <w:r w:rsidRPr="00C11675">
        <w:rPr>
          <w:rFonts w:ascii="Arial" w:hAnsi="Arial" w:cs="Arial"/>
          <w:sz w:val="22"/>
          <w:szCs w:val="24"/>
        </w:rPr>
        <w:t xml:space="preserve">The following is a list of potentially unsuitable investment practices. The first item may only be conducted when in a </w:t>
      </w:r>
      <w:r w:rsidRPr="00C11675" w:rsidR="00B63E22">
        <w:rPr>
          <w:rFonts w:ascii="Arial" w:hAnsi="Arial" w:cs="Arial"/>
          <w:sz w:val="22"/>
          <w:szCs w:val="24"/>
        </w:rPr>
        <w:t>Trading or A</w:t>
      </w:r>
      <w:r w:rsidRPr="00C11675">
        <w:rPr>
          <w:rFonts w:ascii="Arial" w:hAnsi="Arial" w:cs="Arial"/>
          <w:sz w:val="22"/>
          <w:szCs w:val="24"/>
        </w:rPr>
        <w:t xml:space="preserve">vailable-for-sale account. The second is considered unacceptable under any circumstances. The third item is acceptable only in a </w:t>
      </w:r>
      <w:r w:rsidRPr="00C11675" w:rsidR="00B63E22">
        <w:rPr>
          <w:rFonts w:ascii="Arial" w:hAnsi="Arial" w:cs="Arial"/>
          <w:sz w:val="22"/>
          <w:szCs w:val="24"/>
        </w:rPr>
        <w:t>Trading</w:t>
      </w:r>
      <w:r w:rsidRPr="00C11675">
        <w:rPr>
          <w:rFonts w:ascii="Arial" w:hAnsi="Arial" w:cs="Arial"/>
          <w:sz w:val="22"/>
          <w:szCs w:val="24"/>
        </w:rPr>
        <w:t xml:space="preserve"> account. The fourth and fifth require </w:t>
      </w:r>
      <w:r w:rsidRPr="00C11675" w:rsidR="00B63E22">
        <w:rPr>
          <w:rFonts w:ascii="Arial" w:hAnsi="Arial" w:cs="Arial"/>
          <w:sz w:val="22"/>
          <w:szCs w:val="24"/>
        </w:rPr>
        <w:t>Available-for-sale</w:t>
      </w:r>
      <w:r w:rsidRPr="00C11675">
        <w:rPr>
          <w:rFonts w:ascii="Arial" w:hAnsi="Arial" w:cs="Arial"/>
          <w:sz w:val="22"/>
          <w:szCs w:val="24"/>
        </w:rPr>
        <w:t xml:space="preserve"> treatment.</w:t>
      </w:r>
    </w:p>
    <w:p w:rsidR="000F358E" w:rsidRPr="00C11675">
      <w:pPr>
        <w:pStyle w:val="Header"/>
        <w:tabs>
          <w:tab w:val="clear" w:pos="4320"/>
          <w:tab w:val="clear" w:pos="8640"/>
        </w:tabs>
        <w:suppressAutoHyphens/>
        <w:rPr>
          <w:rFonts w:ascii="Arial" w:hAnsi="Arial" w:cs="Arial"/>
          <w:sz w:val="22"/>
          <w:szCs w:val="24"/>
        </w:rPr>
      </w:pPr>
    </w:p>
    <w:p w:rsidR="000F358E" w:rsidRPr="00C11675">
      <w:pPr>
        <w:numPr>
          <w:ilvl w:val="0"/>
          <w:numId w:val="5"/>
        </w:numPr>
        <w:tabs>
          <w:tab w:val="left" w:pos="360"/>
        </w:tabs>
        <w:suppressAutoHyphens/>
        <w:rPr>
          <w:rFonts w:ascii="Arial" w:hAnsi="Arial" w:cs="Arial"/>
          <w:sz w:val="22"/>
          <w:szCs w:val="24"/>
        </w:rPr>
      </w:pPr>
      <w:r w:rsidRPr="00C11675">
        <w:rPr>
          <w:rFonts w:ascii="Arial" w:hAnsi="Arial" w:cs="Arial"/>
          <w:sz w:val="22"/>
          <w:szCs w:val="24"/>
        </w:rPr>
        <w:t>Repositioning Repurchase Agreements: The use of "Pair-Offs," "When-Issued," and "Corporate-Settlement" transactions often requires the financing at settlement of purchased securities which cannot be sold at a profit. The buyer purchasing the security pays the dealer a small "margin" that is roughly equivalent to the actual loss in the security. The dealer then agrees to fund the purchase by buying the security back from the purchaser under a resale agreement.</w:t>
      </w:r>
    </w:p>
    <w:p w:rsidR="000F358E" w:rsidRPr="00C11675">
      <w:pPr>
        <w:numPr>
          <w:ilvl w:val="0"/>
          <w:numId w:val="5"/>
        </w:numPr>
        <w:tabs>
          <w:tab w:val="left" w:pos="360"/>
        </w:tabs>
        <w:suppressAutoHyphens/>
        <w:rPr>
          <w:rFonts w:ascii="Arial" w:hAnsi="Arial" w:cs="Arial"/>
          <w:sz w:val="22"/>
          <w:szCs w:val="24"/>
        </w:rPr>
      </w:pPr>
      <w:r w:rsidRPr="00C11675">
        <w:rPr>
          <w:rFonts w:ascii="Arial" w:hAnsi="Arial" w:cs="Arial"/>
          <w:sz w:val="22"/>
          <w:szCs w:val="24"/>
        </w:rPr>
        <w:t>Adjusted Trading: The sale of a security at a price above prevailing market value, and the simultaneous purchase and booking of a different security, frequently a lower-grade issue or one with a longer maturity</w:t>
      </w:r>
      <w:r w:rsidRPr="00C11675" w:rsidR="00AD77C3">
        <w:rPr>
          <w:rFonts w:ascii="Arial" w:hAnsi="Arial" w:cs="Arial"/>
          <w:sz w:val="22"/>
          <w:szCs w:val="24"/>
        </w:rPr>
        <w:t>,</w:t>
      </w:r>
      <w:r w:rsidRPr="00C11675">
        <w:rPr>
          <w:rFonts w:ascii="Arial" w:hAnsi="Arial" w:cs="Arial"/>
          <w:sz w:val="22"/>
          <w:szCs w:val="24"/>
        </w:rPr>
        <w:t xml:space="preserve"> also at a price greater than its market value.</w:t>
      </w:r>
    </w:p>
    <w:p w:rsidR="000F358E" w:rsidRPr="00C11675">
      <w:pPr>
        <w:numPr>
          <w:ilvl w:val="0"/>
          <w:numId w:val="5"/>
        </w:numPr>
        <w:tabs>
          <w:tab w:val="left" w:pos="360"/>
        </w:tabs>
        <w:suppressAutoHyphens/>
        <w:rPr>
          <w:rFonts w:ascii="Arial" w:hAnsi="Arial" w:cs="Arial"/>
          <w:sz w:val="22"/>
          <w:szCs w:val="24"/>
        </w:rPr>
      </w:pPr>
      <w:r w:rsidRPr="00C11675">
        <w:rPr>
          <w:rFonts w:ascii="Arial" w:hAnsi="Arial" w:cs="Arial"/>
          <w:sz w:val="22"/>
          <w:szCs w:val="24"/>
        </w:rPr>
        <w:t>Short Sales: The sales of securities that are not owned. The purpose of a short sale generally is to speculate on the fall in price of a security.</w:t>
      </w:r>
    </w:p>
    <w:p w:rsidR="000F358E" w:rsidRPr="00C11675">
      <w:pPr>
        <w:numPr>
          <w:ilvl w:val="0"/>
          <w:numId w:val="5"/>
        </w:numPr>
        <w:tabs>
          <w:tab w:val="left" w:pos="360"/>
        </w:tabs>
        <w:suppressAutoHyphens/>
        <w:rPr>
          <w:rFonts w:ascii="Arial" w:hAnsi="Arial" w:cs="Arial"/>
          <w:sz w:val="22"/>
          <w:szCs w:val="24"/>
        </w:rPr>
      </w:pPr>
      <w:r w:rsidRPr="00C11675">
        <w:rPr>
          <w:rFonts w:ascii="Arial" w:hAnsi="Arial" w:cs="Arial"/>
          <w:sz w:val="22"/>
          <w:szCs w:val="24"/>
        </w:rPr>
        <w:t xml:space="preserve">Delegation of Discretionary Investment Authority: The institution no longer has control over its own securities and all holdings must be reported as </w:t>
      </w:r>
      <w:r w:rsidRPr="00C11675" w:rsidR="00B63E22">
        <w:rPr>
          <w:rFonts w:ascii="Arial" w:hAnsi="Arial" w:cs="Arial"/>
          <w:sz w:val="22"/>
          <w:szCs w:val="24"/>
        </w:rPr>
        <w:t>Available-for-sale</w:t>
      </w:r>
      <w:r w:rsidRPr="00C11675">
        <w:rPr>
          <w:rFonts w:ascii="Arial" w:hAnsi="Arial" w:cs="Arial"/>
          <w:sz w:val="22"/>
          <w:szCs w:val="24"/>
        </w:rPr>
        <w:t>.</w:t>
      </w:r>
    </w:p>
    <w:p w:rsidR="000F358E">
      <w:pPr>
        <w:numPr>
          <w:ilvl w:val="0"/>
          <w:numId w:val="5"/>
        </w:numPr>
        <w:tabs>
          <w:tab w:val="left" w:pos="360"/>
        </w:tabs>
        <w:suppressAutoHyphens/>
        <w:rPr>
          <w:rFonts w:ascii="Arial" w:hAnsi="Arial" w:cs="Arial"/>
          <w:sz w:val="22"/>
          <w:szCs w:val="24"/>
        </w:rPr>
      </w:pPr>
      <w:r w:rsidRPr="00C11675">
        <w:rPr>
          <w:rFonts w:ascii="Arial" w:hAnsi="Arial" w:cs="Arial"/>
          <w:sz w:val="22"/>
          <w:szCs w:val="24"/>
        </w:rPr>
        <w:t xml:space="preserve">Covered Calls: The ability of the institution to continue to hold the security rests with another party. Such securities must therefore be classified as </w:t>
      </w:r>
      <w:r w:rsidRPr="00C11675" w:rsidR="00B63E22">
        <w:rPr>
          <w:rFonts w:ascii="Arial" w:hAnsi="Arial" w:cs="Arial"/>
          <w:sz w:val="22"/>
          <w:szCs w:val="24"/>
        </w:rPr>
        <w:t>Available-for-sale</w:t>
      </w:r>
      <w:r w:rsidRPr="00C11675">
        <w:rPr>
          <w:rFonts w:ascii="Arial" w:hAnsi="Arial" w:cs="Arial"/>
          <w:sz w:val="22"/>
          <w:szCs w:val="24"/>
        </w:rPr>
        <w:t>.</w:t>
      </w:r>
    </w:p>
    <w:p w:rsidR="004E70F3">
      <w:pPr>
        <w:tabs>
          <w:tab w:val="left" w:pos="360"/>
        </w:tabs>
        <w:suppressAutoHyphens/>
        <w:ind w:left="360"/>
        <w:rPr>
          <w:rFonts w:ascii="Arial" w:hAnsi="Arial" w:cs="Arial"/>
          <w:sz w:val="22"/>
          <w:szCs w:val="24"/>
        </w:rPr>
      </w:pPr>
    </w:p>
    <w:p w:rsidR="00A65EA6" w:rsidP="00A65EA6">
      <w:pPr>
        <w:pStyle w:val="Heading1"/>
      </w:pPr>
      <w:r>
        <w:rPr>
          <w:rFonts w:ascii="Arial" w:hAnsi="Arial" w:cs="Arial"/>
          <w:b w:val="0"/>
          <w:smallCaps w:val="0"/>
          <w:sz w:val="22"/>
          <w:szCs w:val="24"/>
        </w:rPr>
        <w:t>VI</w:t>
      </w:r>
      <w:r w:rsidRPr="00C11675">
        <w:rPr>
          <w:rFonts w:ascii="Arial" w:hAnsi="Arial" w:cs="Arial"/>
          <w:b w:val="0"/>
          <w:smallCaps w:val="0"/>
          <w:sz w:val="22"/>
          <w:szCs w:val="24"/>
        </w:rPr>
        <w:t xml:space="preserve">. Risk Identification, Measurement and Reporting </w:t>
      </w:r>
    </w:p>
    <w:p w:rsidR="00A65EA6" w:rsidP="00A65EA6">
      <w:pPr>
        <w:pStyle w:val="BodyText21"/>
        <w:ind w:left="270"/>
        <w:rPr>
          <w:rFonts w:ascii="Arial" w:hAnsi="Arial" w:cs="Arial"/>
          <w:sz w:val="22"/>
          <w:szCs w:val="24"/>
        </w:rPr>
      </w:pPr>
      <w:r w:rsidRPr="00C11675">
        <w:rPr>
          <w:rFonts w:ascii="Arial" w:hAnsi="Arial" w:cs="Arial"/>
          <w:sz w:val="22"/>
          <w:szCs w:val="24"/>
        </w:rPr>
        <w:t xml:space="preserve">Management will ensure that it identifies and measures the risks associated with individual transactions prior to acquisition and periodically after purchase. This can be done at the institutional, portfolio, or individual instrument level. Prudent management of investment activities entails examination of the risk profile of a particular investment in light of its impact on the risk profile of the institution. </w:t>
      </w:r>
    </w:p>
    <w:p w:rsidR="00A65EA6" w:rsidRPr="00C11675" w:rsidP="00A65EA6">
      <w:pPr>
        <w:pStyle w:val="Heading2"/>
        <w:rPr>
          <w:rFonts w:ascii="Arial" w:hAnsi="Arial" w:cs="Arial"/>
          <w:sz w:val="22"/>
          <w:szCs w:val="24"/>
        </w:rPr>
      </w:pPr>
    </w:p>
    <w:p w:rsidR="00A65EA6" w:rsidP="00A65EA6">
      <w:pPr>
        <w:pStyle w:val="Heading2"/>
        <w:numPr>
          <w:ilvl w:val="0"/>
          <w:numId w:val="13"/>
        </w:numPr>
        <w:rPr>
          <w:rFonts w:ascii="Arial" w:hAnsi="Arial" w:cs="Arial"/>
          <w:sz w:val="22"/>
          <w:szCs w:val="24"/>
          <w:u w:val="none"/>
        </w:rPr>
      </w:pPr>
      <w:r w:rsidRPr="005E43D1">
        <w:rPr>
          <w:rFonts w:ascii="Arial" w:hAnsi="Arial" w:cs="Arial"/>
          <w:sz w:val="22"/>
          <w:szCs w:val="24"/>
          <w:u w:val="none"/>
        </w:rPr>
        <w:t>Pre-purchase Analysis</w:t>
      </w:r>
    </w:p>
    <w:p w:rsidR="00A65EA6" w:rsidP="00A65EA6">
      <w:pPr>
        <w:pStyle w:val="BodyText21"/>
        <w:ind w:left="270"/>
        <w:rPr>
          <w:rFonts w:ascii="Arial" w:hAnsi="Arial" w:cs="Arial"/>
          <w:sz w:val="22"/>
          <w:szCs w:val="24"/>
        </w:rPr>
      </w:pPr>
      <w:r w:rsidRPr="00C11675">
        <w:rPr>
          <w:rFonts w:ascii="Arial" w:hAnsi="Arial" w:cs="Arial"/>
          <w:sz w:val="22"/>
          <w:szCs w:val="24"/>
        </w:rPr>
        <w:t>Pre-purchase analysis</w:t>
      </w:r>
      <w:r>
        <w:rPr>
          <w:rFonts w:ascii="Arial" w:hAnsi="Arial" w:cs="Arial"/>
          <w:sz w:val="22"/>
          <w:szCs w:val="24"/>
        </w:rPr>
        <w:t xml:space="preserve"> requirements are segregated into two components: interest rate risk and credit / concentration risk.  Pre-purchase analysis focusing on interes</w:t>
      </w:r>
      <w:r w:rsidR="00630AEA">
        <w:rPr>
          <w:rFonts w:ascii="Arial" w:hAnsi="Arial" w:cs="Arial"/>
          <w:sz w:val="22"/>
          <w:szCs w:val="24"/>
        </w:rPr>
        <w:t>t rate risk is detailed in Appendix</w:t>
      </w:r>
      <w:r>
        <w:rPr>
          <w:rFonts w:ascii="Arial" w:hAnsi="Arial" w:cs="Arial"/>
          <w:sz w:val="22"/>
          <w:szCs w:val="24"/>
        </w:rPr>
        <w:t xml:space="preserve"> I and credit / concent</w:t>
      </w:r>
      <w:r w:rsidR="00630AEA">
        <w:rPr>
          <w:rFonts w:ascii="Arial" w:hAnsi="Arial" w:cs="Arial"/>
          <w:sz w:val="22"/>
          <w:szCs w:val="24"/>
        </w:rPr>
        <w:t>ration risk is detailed in Appendix</w:t>
      </w:r>
      <w:r>
        <w:rPr>
          <w:rFonts w:ascii="Arial" w:hAnsi="Arial" w:cs="Arial"/>
          <w:sz w:val="22"/>
          <w:szCs w:val="24"/>
        </w:rPr>
        <w:t xml:space="preserve"> II-IV.</w:t>
      </w:r>
      <w:r w:rsidRPr="00C11675">
        <w:rPr>
          <w:rFonts w:ascii="Arial" w:hAnsi="Arial" w:cs="Arial"/>
          <w:sz w:val="22"/>
          <w:szCs w:val="24"/>
        </w:rPr>
        <w:t xml:space="preserve"> Such analysis shall be completed prior to trade execution (prior to giving the order).  Occasionally when deemed necessary by the investment officer, such analysis might encompass a wider range of scenarios, including non-parallel changes in the yield curve. A comprehensive analysis, when deemed necessary by the investment officer, may also take into account other relevant factors, such as changes in interest rate</w:t>
      </w:r>
      <w:r>
        <w:rPr>
          <w:rFonts w:ascii="Arial" w:hAnsi="Arial" w:cs="Arial"/>
          <w:sz w:val="22"/>
          <w:szCs w:val="24"/>
        </w:rPr>
        <w:t xml:space="preserve"> </w:t>
      </w:r>
      <w:r w:rsidRPr="00C11675">
        <w:rPr>
          <w:rFonts w:ascii="Arial" w:hAnsi="Arial" w:cs="Arial"/>
          <w:sz w:val="22"/>
          <w:szCs w:val="24"/>
        </w:rPr>
        <w:t>volatility</w:t>
      </w:r>
      <w:r>
        <w:rPr>
          <w:rFonts w:ascii="Arial" w:hAnsi="Arial" w:cs="Arial"/>
          <w:sz w:val="22"/>
          <w:szCs w:val="24"/>
        </w:rPr>
        <w:t xml:space="preserve">, </w:t>
      </w:r>
      <w:r w:rsidRPr="00C11675">
        <w:rPr>
          <w:rFonts w:ascii="Arial" w:hAnsi="Arial" w:cs="Arial"/>
          <w:sz w:val="22"/>
          <w:szCs w:val="24"/>
        </w:rPr>
        <w:t>changes in credit spreads</w:t>
      </w:r>
      <w:r>
        <w:rPr>
          <w:rFonts w:ascii="Arial" w:hAnsi="Arial" w:cs="Arial"/>
          <w:sz w:val="22"/>
          <w:szCs w:val="24"/>
        </w:rPr>
        <w:t>, or other information that may impact the decision to purchase the security.</w:t>
      </w:r>
    </w:p>
    <w:p w:rsidR="00A65EA6" w:rsidP="00A65EA6">
      <w:pPr>
        <w:pStyle w:val="BodyText21"/>
        <w:ind w:left="270"/>
        <w:rPr>
          <w:rFonts w:ascii="Arial" w:hAnsi="Arial" w:cs="Arial"/>
          <w:sz w:val="22"/>
          <w:szCs w:val="24"/>
        </w:rPr>
      </w:pPr>
    </w:p>
    <w:p w:rsidR="00A65EA6" w:rsidP="00A65EA6">
      <w:pPr>
        <w:ind w:left="270"/>
        <w:rPr>
          <w:rFonts w:ascii="Arial" w:hAnsi="Arial" w:cs="Arial"/>
          <w:sz w:val="22"/>
          <w:szCs w:val="24"/>
        </w:rPr>
      </w:pPr>
      <w:r w:rsidRPr="00C11675">
        <w:rPr>
          <w:rFonts w:ascii="Arial" w:hAnsi="Arial" w:cs="Arial"/>
          <w:sz w:val="22"/>
          <w:szCs w:val="24"/>
        </w:rPr>
        <w:t xml:space="preserve">Limitations on price sensitivity are noted in </w:t>
      </w:r>
      <w:r w:rsidR="00630AEA">
        <w:rPr>
          <w:rFonts w:ascii="Arial" w:hAnsi="Arial" w:cs="Arial"/>
          <w:sz w:val="22"/>
          <w:szCs w:val="24"/>
        </w:rPr>
        <w:t xml:space="preserve">Appendix </w:t>
      </w:r>
      <w:r w:rsidRPr="00C11675">
        <w:rPr>
          <w:rFonts w:ascii="Arial" w:hAnsi="Arial" w:cs="Arial"/>
          <w:sz w:val="22"/>
          <w:szCs w:val="24"/>
        </w:rPr>
        <w:t>I</w:t>
      </w:r>
      <w:r>
        <w:rPr>
          <w:rFonts w:ascii="Arial" w:hAnsi="Arial" w:cs="Arial"/>
          <w:sz w:val="22"/>
          <w:szCs w:val="24"/>
        </w:rPr>
        <w:t xml:space="preserve"> and credit / concentration</w:t>
      </w:r>
      <w:r w:rsidR="00630AEA">
        <w:rPr>
          <w:rFonts w:ascii="Arial" w:hAnsi="Arial" w:cs="Arial"/>
          <w:sz w:val="22"/>
          <w:szCs w:val="24"/>
        </w:rPr>
        <w:t xml:space="preserve"> assessments are noted in Appendix</w:t>
      </w:r>
      <w:r>
        <w:rPr>
          <w:rFonts w:ascii="Arial" w:hAnsi="Arial" w:cs="Arial"/>
          <w:sz w:val="22"/>
          <w:szCs w:val="24"/>
        </w:rPr>
        <w:t xml:space="preserve"> II – IV and in section V.C. and V.D.</w:t>
      </w:r>
    </w:p>
    <w:p w:rsidR="00A65EA6" w:rsidRPr="00C11675" w:rsidP="00A65EA6">
      <w:pPr>
        <w:rPr>
          <w:rFonts w:ascii="Arial" w:hAnsi="Arial" w:cs="Arial"/>
          <w:sz w:val="22"/>
          <w:szCs w:val="24"/>
        </w:rPr>
      </w:pPr>
    </w:p>
    <w:p w:rsidR="004E70F3">
      <w:pPr>
        <w:pStyle w:val="Heading2"/>
        <w:numPr>
          <w:ilvl w:val="0"/>
          <w:numId w:val="13"/>
        </w:numPr>
        <w:rPr>
          <w:rFonts w:ascii="Arial" w:hAnsi="Arial" w:cs="Arial"/>
          <w:sz w:val="22"/>
          <w:szCs w:val="24"/>
        </w:rPr>
      </w:pPr>
      <w:r w:rsidRPr="005E43D1">
        <w:rPr>
          <w:rFonts w:ascii="Arial" w:hAnsi="Arial" w:cs="Arial"/>
          <w:sz w:val="22"/>
          <w:szCs w:val="24"/>
          <w:u w:val="none"/>
        </w:rPr>
        <w:t>Ongoing Analysis of Securities</w:t>
      </w:r>
    </w:p>
    <w:p w:rsidR="004E70F3">
      <w:pPr>
        <w:pStyle w:val="BodyText21"/>
        <w:numPr>
          <w:ilvl w:val="0"/>
          <w:numId w:val="15"/>
        </w:numPr>
        <w:rPr>
          <w:rFonts w:ascii="Arial" w:hAnsi="Arial" w:cs="Arial"/>
          <w:sz w:val="22"/>
          <w:szCs w:val="24"/>
        </w:rPr>
      </w:pPr>
      <w:r w:rsidRPr="006A589D">
        <w:rPr>
          <w:rFonts w:ascii="Arial" w:hAnsi="Arial" w:cs="Arial"/>
          <w:sz w:val="22"/>
          <w:szCs w:val="24"/>
        </w:rPr>
        <w:t xml:space="preserve">Interest Rate Risk </w:t>
      </w:r>
    </w:p>
    <w:p w:rsidR="00A65EA6" w:rsidP="00A65EA6">
      <w:pPr>
        <w:pStyle w:val="BodyText21"/>
        <w:ind w:left="270"/>
        <w:rPr>
          <w:rFonts w:ascii="Arial" w:hAnsi="Arial" w:cs="Arial"/>
          <w:sz w:val="22"/>
          <w:szCs w:val="24"/>
        </w:rPr>
      </w:pPr>
      <w:r w:rsidRPr="00C11675">
        <w:rPr>
          <w:rFonts w:ascii="Arial" w:hAnsi="Arial" w:cs="Arial"/>
          <w:sz w:val="22"/>
          <w:szCs w:val="24"/>
        </w:rPr>
        <w:t>Subsequent to purchase, individual securities will be tested quarterly</w:t>
      </w:r>
      <w:r>
        <w:rPr>
          <w:rFonts w:ascii="Arial" w:hAnsi="Arial" w:cs="Arial"/>
          <w:sz w:val="22"/>
          <w:szCs w:val="24"/>
        </w:rPr>
        <w:t xml:space="preserve"> for price volatility</w:t>
      </w:r>
      <w:r w:rsidRPr="00C11675">
        <w:rPr>
          <w:rFonts w:ascii="Arial" w:hAnsi="Arial" w:cs="Arial"/>
          <w:sz w:val="22"/>
          <w:szCs w:val="24"/>
        </w:rPr>
        <w:t xml:space="preserve">.  Those which exhibit price volatility &gt; 20 % will be reported to the board at </w:t>
      </w:r>
      <w:r>
        <w:rPr>
          <w:rFonts w:ascii="Arial" w:hAnsi="Arial" w:cs="Arial"/>
          <w:sz w:val="22"/>
          <w:szCs w:val="24"/>
        </w:rPr>
        <w:t xml:space="preserve">the next </w:t>
      </w:r>
      <w:r w:rsidRPr="00C11675">
        <w:rPr>
          <w:rFonts w:ascii="Arial" w:hAnsi="Arial" w:cs="Arial"/>
          <w:sz w:val="22"/>
          <w:szCs w:val="24"/>
        </w:rPr>
        <w:t>board meeting.</w:t>
      </w:r>
      <w:r>
        <w:rPr>
          <w:rFonts w:ascii="Arial" w:hAnsi="Arial" w:cs="Arial"/>
          <w:sz w:val="22"/>
          <w:szCs w:val="24"/>
        </w:rPr>
        <w:t xml:space="preserve">  </w:t>
      </w:r>
    </w:p>
    <w:p w:rsidR="00A65EA6" w:rsidP="00A65EA6">
      <w:pPr>
        <w:pStyle w:val="BodyText21"/>
        <w:ind w:left="270"/>
        <w:rPr>
          <w:rFonts w:ascii="Arial" w:hAnsi="Arial" w:cs="Arial"/>
          <w:sz w:val="22"/>
          <w:szCs w:val="24"/>
        </w:rPr>
      </w:pPr>
    </w:p>
    <w:p w:rsidR="00A65EA6" w:rsidP="00A65EA6">
      <w:pPr>
        <w:pStyle w:val="BodyText21"/>
        <w:ind w:left="270"/>
        <w:rPr>
          <w:rFonts w:ascii="Arial" w:hAnsi="Arial" w:cs="Arial"/>
          <w:sz w:val="22"/>
          <w:szCs w:val="24"/>
        </w:rPr>
      </w:pPr>
      <w:r w:rsidRPr="00C11675">
        <w:rPr>
          <w:rFonts w:ascii="Arial" w:hAnsi="Arial" w:cs="Arial"/>
          <w:sz w:val="22"/>
          <w:szCs w:val="24"/>
        </w:rPr>
        <w:t xml:space="preserve">At least quarterly, the portfolio, in as much detail as is practicable, will be subjected to an analysis that shows the price impact of an immediate, parallel, and sustained shift </w:t>
      </w:r>
      <w:r w:rsidRPr="00C11675">
        <w:rPr>
          <w:rFonts w:ascii="Arial" w:hAnsi="Arial" w:cs="Arial"/>
          <w:sz w:val="22"/>
          <w:szCs w:val="24"/>
        </w:rPr>
        <w:t>in the yield curve of plus and minus 100, 200, and 300 basis points. The results of these tests will be aggregated to determine the effect on the securities portfolio and on capital.</w:t>
      </w:r>
    </w:p>
    <w:p w:rsidR="00A65EA6" w:rsidRPr="00C11675" w:rsidP="00A65EA6">
      <w:pPr>
        <w:rPr>
          <w:rFonts w:ascii="Arial" w:hAnsi="Arial" w:cs="Arial"/>
          <w:sz w:val="22"/>
          <w:szCs w:val="24"/>
        </w:rPr>
      </w:pPr>
    </w:p>
    <w:p w:rsidR="00A65EA6" w:rsidP="00A65EA6">
      <w:pPr>
        <w:pStyle w:val="BodyText21"/>
        <w:ind w:left="270"/>
        <w:rPr>
          <w:rFonts w:ascii="Arial" w:hAnsi="Arial" w:cs="Arial"/>
          <w:sz w:val="22"/>
          <w:szCs w:val="24"/>
        </w:rPr>
      </w:pPr>
      <w:r w:rsidRPr="00C11675">
        <w:rPr>
          <w:rFonts w:ascii="Arial" w:hAnsi="Arial" w:cs="Arial"/>
          <w:sz w:val="22"/>
          <w:szCs w:val="24"/>
        </w:rPr>
        <w:t xml:space="preserve">The securities portfolio will not exhibit a pre-tax loss of value greater than 12% of current market value in any of the interest rate scenarios. </w:t>
      </w:r>
    </w:p>
    <w:p w:rsidR="00A65EA6" w:rsidRPr="00C11675" w:rsidP="00A65EA6">
      <w:pPr>
        <w:rPr>
          <w:rFonts w:ascii="Arial" w:hAnsi="Arial" w:cs="Arial"/>
          <w:sz w:val="22"/>
          <w:szCs w:val="24"/>
        </w:rPr>
      </w:pPr>
    </w:p>
    <w:p w:rsidR="00A65EA6" w:rsidP="00A65EA6">
      <w:pPr>
        <w:pStyle w:val="BodyText"/>
        <w:ind w:left="270"/>
        <w:jc w:val="both"/>
        <w:rPr>
          <w:rFonts w:ascii="Arial" w:hAnsi="Arial" w:cs="Arial"/>
          <w:sz w:val="22"/>
          <w:szCs w:val="24"/>
        </w:rPr>
      </w:pPr>
      <w:r w:rsidRPr="00C11675">
        <w:rPr>
          <w:rFonts w:ascii="Arial" w:hAnsi="Arial" w:cs="Arial"/>
          <w:sz w:val="22"/>
          <w:szCs w:val="24"/>
        </w:rPr>
        <w:t>Option risk and average life sensitivity (the change in the timing of principal cash flows) will be considered as part of our earnings-at-risk analysis. Limitations on earnings-at-risk require that our “one year income statement gap” remain within +/- 10% of assets for +/- 100 basis point rate shifts and +/- 15% of assets for +/- 200 basis point rate shifts. More information on the institution’s interest rate risk practices may be found in our interest rate risk policy statement.</w:t>
      </w:r>
    </w:p>
    <w:p w:rsidR="00A65EA6" w:rsidP="00A65EA6">
      <w:pPr>
        <w:pStyle w:val="BodyText"/>
        <w:ind w:left="270"/>
        <w:jc w:val="both"/>
        <w:rPr>
          <w:rFonts w:ascii="Arial" w:hAnsi="Arial" w:cs="Arial"/>
          <w:sz w:val="22"/>
          <w:szCs w:val="24"/>
        </w:rPr>
      </w:pPr>
    </w:p>
    <w:p w:rsidR="00A65EA6" w:rsidP="00A65EA6">
      <w:pPr>
        <w:pStyle w:val="BodyText"/>
        <w:ind w:left="270"/>
        <w:jc w:val="both"/>
        <w:rPr>
          <w:rFonts w:ascii="Arial" w:hAnsi="Arial" w:cs="Arial"/>
          <w:sz w:val="22"/>
          <w:szCs w:val="24"/>
        </w:rPr>
      </w:pPr>
      <w:r w:rsidRPr="00C11675">
        <w:rPr>
          <w:rFonts w:ascii="Arial" w:hAnsi="Arial" w:cs="Arial"/>
          <w:sz w:val="22"/>
          <w:szCs w:val="24"/>
        </w:rPr>
        <w:t>[Larger, more complex institutions may also wish to place a limitation on the change in the economic value of equity (EVE) or market value of portfolio equity (MVPE). Essentially, this entails performing a price sensitivity test on all financial instruments, both assets and liabilities, and aggregating the results to determine how much capital would theoretically change if rates change. Any mention of such testing should be cross-referenced to the institution’s interest rate risk policy statement.]</w:t>
      </w:r>
    </w:p>
    <w:p w:rsidR="00A65EA6" w:rsidP="00A65EA6">
      <w:pPr>
        <w:pStyle w:val="BodyText"/>
        <w:jc w:val="both"/>
        <w:rPr>
          <w:rFonts w:ascii="Arial" w:hAnsi="Arial" w:cs="Arial"/>
          <w:sz w:val="22"/>
          <w:szCs w:val="24"/>
        </w:rPr>
      </w:pPr>
    </w:p>
    <w:p w:rsidR="00A65EA6" w:rsidP="00A65EA6">
      <w:pPr>
        <w:pStyle w:val="Heading2"/>
        <w:numPr>
          <w:ilvl w:val="0"/>
          <w:numId w:val="15"/>
        </w:numPr>
        <w:rPr>
          <w:rFonts w:ascii="Arial" w:hAnsi="Arial" w:cs="Arial"/>
          <w:sz w:val="22"/>
          <w:szCs w:val="24"/>
          <w:u w:val="none"/>
        </w:rPr>
      </w:pPr>
      <w:r w:rsidRPr="005E43D1">
        <w:rPr>
          <w:rFonts w:ascii="Arial" w:hAnsi="Arial" w:cs="Arial"/>
          <w:sz w:val="22"/>
          <w:szCs w:val="24"/>
          <w:u w:val="none"/>
        </w:rPr>
        <w:t>Credit Risk</w:t>
      </w:r>
    </w:p>
    <w:p w:rsidR="00A65EA6" w:rsidP="00A65EA6">
      <w:pPr>
        <w:pStyle w:val="BodyText21"/>
        <w:ind w:left="270"/>
        <w:rPr>
          <w:rFonts w:ascii="Arial" w:hAnsi="Arial" w:cs="Arial"/>
          <w:sz w:val="22"/>
          <w:szCs w:val="24"/>
        </w:rPr>
      </w:pPr>
      <w:r w:rsidRPr="00C11675">
        <w:rPr>
          <w:rFonts w:ascii="Arial" w:hAnsi="Arial" w:cs="Arial"/>
          <w:sz w:val="22"/>
          <w:szCs w:val="24"/>
        </w:rPr>
        <w:t>Credit risk management in the investment portfolio will incorporate the same key elements as interest rate, lending, and other types of risk management. Issues subject to credit risk</w:t>
      </w:r>
      <w:r>
        <w:rPr>
          <w:rFonts w:ascii="Arial" w:hAnsi="Arial" w:cs="Arial"/>
          <w:sz w:val="22"/>
          <w:szCs w:val="24"/>
        </w:rPr>
        <w:t xml:space="preserve"> and the due diligence requirements are identified </w:t>
      </w:r>
      <w:r w:rsidR="00630AEA">
        <w:rPr>
          <w:rFonts w:ascii="Arial" w:hAnsi="Arial" w:cs="Arial"/>
          <w:sz w:val="22"/>
          <w:szCs w:val="24"/>
        </w:rPr>
        <w:t>in Appendix</w:t>
      </w:r>
      <w:r>
        <w:rPr>
          <w:rFonts w:ascii="Arial" w:hAnsi="Arial" w:cs="Arial"/>
          <w:sz w:val="22"/>
          <w:szCs w:val="24"/>
        </w:rPr>
        <w:t xml:space="preserve"> II-IV</w:t>
      </w:r>
      <w:r w:rsidRPr="00C11675">
        <w:rPr>
          <w:rFonts w:ascii="Arial" w:hAnsi="Arial" w:cs="Arial"/>
          <w:sz w:val="22"/>
          <w:szCs w:val="24"/>
        </w:rPr>
        <w:t>. These four key elements are:</w:t>
      </w:r>
    </w:p>
    <w:p w:rsidR="00A65EA6" w:rsidRPr="00C11675" w:rsidP="00A65EA6">
      <w:pPr>
        <w:rPr>
          <w:rFonts w:ascii="Arial" w:hAnsi="Arial" w:cs="Arial"/>
          <w:sz w:val="22"/>
          <w:szCs w:val="24"/>
        </w:rPr>
      </w:pPr>
      <w:r w:rsidRPr="00C11675">
        <w:rPr>
          <w:rFonts w:ascii="Arial" w:hAnsi="Arial" w:cs="Arial"/>
          <w:i/>
          <w:sz w:val="22"/>
          <w:szCs w:val="24"/>
        </w:rPr>
        <w:tab/>
        <w:t xml:space="preserve">- </w:t>
      </w:r>
      <w:r w:rsidRPr="00C11675">
        <w:rPr>
          <w:rFonts w:ascii="Arial" w:hAnsi="Arial" w:cs="Arial"/>
          <w:sz w:val="22"/>
          <w:szCs w:val="24"/>
        </w:rPr>
        <w:t>active and appropriate oversight</w:t>
      </w:r>
    </w:p>
    <w:p w:rsidR="00A65EA6" w:rsidRPr="00C11675" w:rsidP="00A65EA6">
      <w:pPr>
        <w:rPr>
          <w:rFonts w:ascii="Arial" w:hAnsi="Arial" w:cs="Arial"/>
          <w:sz w:val="22"/>
          <w:szCs w:val="24"/>
        </w:rPr>
      </w:pPr>
      <w:r w:rsidRPr="00C11675">
        <w:rPr>
          <w:rFonts w:ascii="Arial" w:hAnsi="Arial" w:cs="Arial"/>
          <w:sz w:val="22"/>
          <w:szCs w:val="24"/>
        </w:rPr>
        <w:tab/>
        <w:t>- risk-management policies and limits</w:t>
      </w:r>
      <w:r w:rsidRPr="00C11675">
        <w:rPr>
          <w:rFonts w:ascii="Arial" w:hAnsi="Arial" w:cs="Arial"/>
          <w:sz w:val="22"/>
          <w:szCs w:val="24"/>
        </w:rPr>
        <w:tab/>
      </w:r>
    </w:p>
    <w:p w:rsidR="00A65EA6" w:rsidRPr="00C11675" w:rsidP="00A65EA6">
      <w:pPr>
        <w:rPr>
          <w:rFonts w:ascii="Arial" w:hAnsi="Arial" w:cs="Arial"/>
          <w:sz w:val="22"/>
          <w:szCs w:val="24"/>
        </w:rPr>
      </w:pPr>
      <w:r w:rsidRPr="00C11675">
        <w:rPr>
          <w:rFonts w:ascii="Arial" w:hAnsi="Arial" w:cs="Arial"/>
          <w:sz w:val="22"/>
          <w:szCs w:val="24"/>
        </w:rPr>
        <w:tab/>
        <w:t>- risk-measurement and reporting, and</w:t>
      </w:r>
    </w:p>
    <w:p w:rsidR="00A65EA6" w:rsidRPr="00C11675" w:rsidP="00A65EA6">
      <w:pPr>
        <w:rPr>
          <w:rFonts w:ascii="Arial" w:hAnsi="Arial" w:cs="Arial"/>
          <w:sz w:val="22"/>
          <w:szCs w:val="24"/>
        </w:rPr>
      </w:pPr>
      <w:r w:rsidRPr="00C11675">
        <w:rPr>
          <w:rFonts w:ascii="Arial" w:hAnsi="Arial" w:cs="Arial"/>
          <w:sz w:val="22"/>
          <w:szCs w:val="24"/>
        </w:rPr>
        <w:tab/>
        <w:t>- internal controls</w:t>
      </w:r>
    </w:p>
    <w:p w:rsidR="00A65EA6" w:rsidP="00A65EA6">
      <w:pPr>
        <w:ind w:left="270"/>
        <w:rPr>
          <w:rFonts w:ascii="Arial" w:hAnsi="Arial" w:cs="Arial"/>
          <w:sz w:val="22"/>
          <w:szCs w:val="24"/>
        </w:rPr>
      </w:pPr>
      <w:r w:rsidRPr="00C11675">
        <w:rPr>
          <w:rFonts w:ascii="Arial" w:hAnsi="Arial" w:cs="Arial"/>
          <w:sz w:val="22"/>
          <w:szCs w:val="24"/>
        </w:rPr>
        <w:t>These four key elements will be applied t</w:t>
      </w:r>
      <w:r>
        <w:rPr>
          <w:rFonts w:ascii="Arial" w:hAnsi="Arial" w:cs="Arial"/>
          <w:sz w:val="22"/>
          <w:szCs w:val="24"/>
        </w:rPr>
        <w:t xml:space="preserve">o pre-purchase, ongoing, and </w:t>
      </w:r>
      <w:r w:rsidRPr="00C11675">
        <w:rPr>
          <w:rFonts w:ascii="Arial" w:hAnsi="Arial" w:cs="Arial"/>
          <w:sz w:val="22"/>
          <w:szCs w:val="24"/>
        </w:rPr>
        <w:t>post-purchase</w:t>
      </w:r>
      <w:r>
        <w:rPr>
          <w:rFonts w:ascii="Arial" w:hAnsi="Arial" w:cs="Arial"/>
          <w:sz w:val="22"/>
          <w:szCs w:val="24"/>
        </w:rPr>
        <w:t xml:space="preserve"> analysis,</w:t>
      </w:r>
      <w:r w:rsidRPr="00C11675">
        <w:rPr>
          <w:rFonts w:ascii="Arial" w:hAnsi="Arial" w:cs="Arial"/>
          <w:sz w:val="22"/>
          <w:szCs w:val="24"/>
        </w:rPr>
        <w:t xml:space="preserve"> review</w:t>
      </w:r>
      <w:r>
        <w:rPr>
          <w:rFonts w:ascii="Arial" w:hAnsi="Arial" w:cs="Arial"/>
          <w:sz w:val="22"/>
          <w:szCs w:val="24"/>
        </w:rPr>
        <w:t>,</w:t>
      </w:r>
      <w:r w:rsidRPr="00C11675">
        <w:rPr>
          <w:rFonts w:ascii="Arial" w:hAnsi="Arial" w:cs="Arial"/>
          <w:sz w:val="22"/>
          <w:szCs w:val="24"/>
        </w:rPr>
        <w:t xml:space="preserve"> and monitoring. </w:t>
      </w:r>
    </w:p>
    <w:p w:rsidR="00A65EA6" w:rsidRPr="00C11675" w:rsidP="00A65EA6">
      <w:pPr>
        <w:rPr>
          <w:rFonts w:ascii="Arial" w:hAnsi="Arial" w:cs="Arial"/>
          <w:sz w:val="22"/>
          <w:szCs w:val="24"/>
        </w:rPr>
      </w:pPr>
    </w:p>
    <w:p w:rsidR="00A65EA6" w:rsidP="00A65EA6">
      <w:pPr>
        <w:pStyle w:val="BodyText21"/>
        <w:ind w:left="270"/>
        <w:rPr>
          <w:rFonts w:ascii="Arial" w:hAnsi="Arial" w:cs="Arial"/>
          <w:sz w:val="22"/>
          <w:szCs w:val="24"/>
        </w:rPr>
      </w:pPr>
      <w:r w:rsidRPr="00C11675">
        <w:rPr>
          <w:rFonts w:ascii="Arial" w:hAnsi="Arial" w:cs="Arial"/>
          <w:sz w:val="22"/>
          <w:szCs w:val="24"/>
        </w:rPr>
        <w:t>The institution plans to mitigate credit risk by limiting</w:t>
      </w:r>
      <w:r>
        <w:rPr>
          <w:rFonts w:ascii="Arial" w:hAnsi="Arial" w:cs="Arial"/>
          <w:sz w:val="22"/>
          <w:szCs w:val="24"/>
        </w:rPr>
        <w:t xml:space="preserve"> and subjecting</w:t>
      </w:r>
      <w:r w:rsidRPr="00C11675">
        <w:rPr>
          <w:rFonts w:ascii="Arial" w:hAnsi="Arial" w:cs="Arial"/>
          <w:sz w:val="22"/>
          <w:szCs w:val="24"/>
        </w:rPr>
        <w:t xml:space="preserve"> purch</w:t>
      </w:r>
      <w:r w:rsidR="00630AEA">
        <w:rPr>
          <w:rFonts w:ascii="Arial" w:hAnsi="Arial" w:cs="Arial"/>
          <w:sz w:val="22"/>
          <w:szCs w:val="24"/>
        </w:rPr>
        <w:t>ases to those indicated on Appendix</w:t>
      </w:r>
      <w:r w:rsidRPr="00C11675">
        <w:rPr>
          <w:rFonts w:ascii="Arial" w:hAnsi="Arial" w:cs="Arial"/>
          <w:sz w:val="22"/>
          <w:szCs w:val="24"/>
        </w:rPr>
        <w:t xml:space="preserve"> I</w:t>
      </w:r>
      <w:r>
        <w:rPr>
          <w:rFonts w:ascii="Arial" w:hAnsi="Arial" w:cs="Arial"/>
          <w:sz w:val="22"/>
          <w:szCs w:val="24"/>
        </w:rPr>
        <w:t>I-IV (credit ratings alone will not be solely relied on in any case)</w:t>
      </w:r>
      <w:r w:rsidRPr="00C11675">
        <w:rPr>
          <w:rFonts w:ascii="Arial" w:hAnsi="Arial" w:cs="Arial"/>
          <w:sz w:val="22"/>
          <w:szCs w:val="24"/>
        </w:rPr>
        <w:t>. For any security, but espec</w:t>
      </w:r>
      <w:r>
        <w:rPr>
          <w:rFonts w:ascii="Arial" w:hAnsi="Arial" w:cs="Arial"/>
          <w:sz w:val="22"/>
          <w:szCs w:val="24"/>
        </w:rPr>
        <w:t>ially for lower-rated or non rated issues,</w:t>
      </w:r>
      <w:r w:rsidRPr="00C11675">
        <w:rPr>
          <w:rFonts w:ascii="Arial" w:hAnsi="Arial" w:cs="Arial"/>
          <w:sz w:val="22"/>
          <w:szCs w:val="24"/>
        </w:rPr>
        <w:t xml:space="preserve"> a more thorough review of the issuer’s condition using the most current available financial information will be performed prior to purchase and documented</w:t>
      </w:r>
      <w:r>
        <w:rPr>
          <w:rFonts w:ascii="Arial" w:hAnsi="Arial" w:cs="Arial"/>
          <w:sz w:val="22"/>
          <w:szCs w:val="24"/>
        </w:rPr>
        <w:t xml:space="preserve"> as outlined on </w:t>
      </w:r>
      <w:r w:rsidR="00630AEA">
        <w:rPr>
          <w:rFonts w:ascii="Arial" w:hAnsi="Arial" w:cs="Arial"/>
          <w:sz w:val="22"/>
          <w:szCs w:val="24"/>
        </w:rPr>
        <w:t xml:space="preserve">Appendix </w:t>
      </w:r>
      <w:r>
        <w:rPr>
          <w:rFonts w:ascii="Arial" w:hAnsi="Arial" w:cs="Arial"/>
          <w:sz w:val="22"/>
          <w:szCs w:val="24"/>
        </w:rPr>
        <w:t>IV</w:t>
      </w:r>
      <w:r w:rsidRPr="00C11675">
        <w:rPr>
          <w:rFonts w:ascii="Arial" w:hAnsi="Arial" w:cs="Arial"/>
          <w:sz w:val="22"/>
          <w:szCs w:val="24"/>
        </w:rPr>
        <w:t xml:space="preserve">. Financial information and any other evaluation materials used will be retained in the security file. </w:t>
      </w:r>
    </w:p>
    <w:p w:rsidR="00A65EA6" w:rsidP="00A65EA6">
      <w:pPr>
        <w:pStyle w:val="BodyText21"/>
        <w:ind w:left="270"/>
        <w:rPr>
          <w:rFonts w:ascii="Arial" w:hAnsi="Arial" w:cs="Arial"/>
          <w:sz w:val="22"/>
          <w:szCs w:val="24"/>
        </w:rPr>
      </w:pPr>
    </w:p>
    <w:p w:rsidR="00A65EA6" w:rsidP="00A65EA6">
      <w:pPr>
        <w:pStyle w:val="BodyText21"/>
        <w:ind w:left="270"/>
        <w:rPr>
          <w:rFonts w:ascii="Arial" w:hAnsi="Arial" w:cs="Arial"/>
          <w:sz w:val="22"/>
          <w:szCs w:val="24"/>
        </w:rPr>
      </w:pPr>
      <w:r w:rsidRPr="00C11675">
        <w:rPr>
          <w:rFonts w:ascii="Arial" w:hAnsi="Arial" w:cs="Arial"/>
          <w:sz w:val="22"/>
          <w:szCs w:val="24"/>
        </w:rPr>
        <w:t>Periodic reviews of investment holdings are important. The ratings of corporate, asset-backed, and municipal obligations will be updated at least quarterly. Lower rated or riskier issues will receive more extensive review and documen</w:t>
      </w:r>
      <w:r>
        <w:rPr>
          <w:rFonts w:ascii="Arial" w:hAnsi="Arial" w:cs="Arial"/>
          <w:sz w:val="22"/>
          <w:szCs w:val="24"/>
        </w:rPr>
        <w:t xml:space="preserve">tation. </w:t>
      </w:r>
    </w:p>
    <w:p w:rsidR="00A65EA6" w:rsidP="00A65EA6">
      <w:pPr>
        <w:ind w:left="270"/>
        <w:rPr>
          <w:rFonts w:ascii="Arial" w:hAnsi="Arial" w:cs="Arial"/>
          <w:sz w:val="22"/>
          <w:szCs w:val="24"/>
        </w:rPr>
      </w:pPr>
    </w:p>
    <w:p w:rsidR="00A65EA6" w:rsidP="00A65EA6">
      <w:pPr>
        <w:ind w:left="270"/>
        <w:rPr>
          <w:rFonts w:ascii="Arial" w:hAnsi="Arial" w:cs="Arial"/>
          <w:sz w:val="22"/>
          <w:szCs w:val="24"/>
        </w:rPr>
      </w:pPr>
      <w:r>
        <w:rPr>
          <w:rFonts w:ascii="Arial" w:hAnsi="Arial" w:cs="Arial"/>
          <w:sz w:val="22"/>
          <w:szCs w:val="24"/>
        </w:rPr>
        <w:t xml:space="preserve">Securities that fall outside the risk criteria established by the bank are not expected to be automatically sold. They are, however, subject to more thorough and ongoing reviews. In addition, management should identify a plan for holding and monitoring the security as well as criteria under which the security would be liquidated. </w:t>
      </w:r>
    </w:p>
    <w:p w:rsidR="00A65EA6" w:rsidP="00A65EA6">
      <w:pPr>
        <w:ind w:left="270"/>
        <w:rPr>
          <w:rFonts w:ascii="Arial" w:hAnsi="Arial" w:cs="Arial"/>
          <w:sz w:val="22"/>
          <w:szCs w:val="24"/>
        </w:rPr>
      </w:pPr>
    </w:p>
    <w:p w:rsidR="008D0E4D">
      <w:pPr>
        <w:rPr>
          <w:rFonts w:ascii="Arial" w:hAnsi="Arial" w:cs="Arial"/>
          <w:sz w:val="22"/>
          <w:szCs w:val="24"/>
        </w:rPr>
      </w:pPr>
      <w:r>
        <w:rPr>
          <w:rFonts w:ascii="Arial" w:hAnsi="Arial" w:cs="Arial"/>
          <w:sz w:val="22"/>
          <w:szCs w:val="24"/>
        </w:rPr>
        <w:br w:type="page"/>
      </w:r>
    </w:p>
    <w:p w:rsidR="00A65EA6" w:rsidP="00A65EA6">
      <w:pPr>
        <w:ind w:left="270"/>
        <w:rPr>
          <w:rFonts w:ascii="Arial" w:hAnsi="Arial" w:cs="Arial"/>
          <w:sz w:val="22"/>
          <w:szCs w:val="24"/>
        </w:rPr>
      </w:pPr>
      <w:r>
        <w:rPr>
          <w:rFonts w:ascii="Arial" w:hAnsi="Arial" w:cs="Arial"/>
          <w:sz w:val="22"/>
          <w:szCs w:val="24"/>
        </w:rPr>
        <w:t>Management will routinely monitor the investment portfolio as well as the markets for events, news, or changes which have a material, negative impact on the credit of h</w:t>
      </w:r>
      <w:r w:rsidR="00F250E7">
        <w:rPr>
          <w:rFonts w:ascii="Arial" w:hAnsi="Arial" w:cs="Arial"/>
          <w:sz w:val="22"/>
          <w:szCs w:val="24"/>
        </w:rPr>
        <w:t xml:space="preserve">oldings. In general, management will </w:t>
      </w:r>
      <w:r>
        <w:rPr>
          <w:rFonts w:ascii="Arial" w:hAnsi="Arial" w:cs="Arial"/>
          <w:sz w:val="22"/>
          <w:szCs w:val="24"/>
        </w:rPr>
        <w:t>abide by the following general schedule of the frequency and type of reviews to be conducted:</w:t>
      </w:r>
    </w:p>
    <w:p w:rsidR="00A65EA6" w:rsidP="00A65EA6">
      <w:pPr>
        <w:ind w:left="270"/>
        <w:rPr>
          <w:rFonts w:ascii="Arial" w:hAnsi="Arial" w:cs="Arial"/>
          <w:sz w:val="22"/>
          <w:szCs w:val="24"/>
        </w:rPr>
      </w:pPr>
    </w:p>
    <w:p w:rsidR="008D0E4D" w:rsidP="00A65EA6">
      <w:pPr>
        <w:ind w:left="-270"/>
        <w:rPr>
          <w:rFonts w:ascii="Arial" w:hAnsi="Arial" w:cs="Arial"/>
          <w:sz w:val="22"/>
          <w:szCs w:val="24"/>
        </w:rPr>
      </w:pPr>
    </w:p>
    <w:tbl>
      <w:tblPr>
        <w:tblW w:w="9980" w:type="dxa"/>
        <w:tblInd w:w="93" w:type="dxa"/>
        <w:tblLook w:val="04A0"/>
      </w:tblPr>
      <w:tblGrid>
        <w:gridCol w:w="960"/>
        <w:gridCol w:w="960"/>
        <w:gridCol w:w="960"/>
        <w:gridCol w:w="1660"/>
        <w:gridCol w:w="1920"/>
        <w:gridCol w:w="640"/>
        <w:gridCol w:w="2880"/>
      </w:tblGrid>
      <w:tr w:rsidTr="008D0E4D">
        <w:tblPrEx>
          <w:tblW w:w="9980" w:type="dxa"/>
          <w:tblInd w:w="93" w:type="dxa"/>
          <w:tblLook w:val="04A0"/>
        </w:tblPrEx>
        <w:trPr>
          <w:trHeight w:val="300"/>
        </w:trPr>
        <w:tc>
          <w:tcPr>
            <w:tcW w:w="9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bookmarkStart w:id="0" w:name="RANGE!A6:G36"/>
            <w:r w:rsidRPr="008D0E4D">
              <w:rPr>
                <w:rFonts w:ascii="Calibri" w:hAnsi="Calibri"/>
                <w:color w:val="FFFFFF"/>
                <w:sz w:val="22"/>
                <w:szCs w:val="22"/>
              </w:rPr>
              <w:t> </w:t>
            </w:r>
            <w:bookmarkEnd w:id="0"/>
          </w:p>
        </w:tc>
        <w:tc>
          <w:tcPr>
            <w:tcW w:w="9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9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16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1920" w:type="dxa"/>
            <w:tcBorders>
              <w:top w:val="nil"/>
              <w:left w:val="nil"/>
              <w:bottom w:val="nil"/>
              <w:right w:val="nil"/>
            </w:tcBorders>
            <w:shd w:val="clear" w:color="000000" w:fill="16365C"/>
            <w:noWrap/>
            <w:vAlign w:val="bottom"/>
            <w:hideMark/>
          </w:tcPr>
          <w:p w:rsidR="008D0E4D" w:rsidRPr="008D0E4D" w:rsidP="008D0E4D">
            <w:pPr>
              <w:jc w:val="center"/>
              <w:rPr>
                <w:rFonts w:ascii="Calibri" w:hAnsi="Calibri"/>
                <w:color w:val="FFFFFF"/>
                <w:sz w:val="22"/>
                <w:szCs w:val="22"/>
              </w:rPr>
            </w:pPr>
            <w:r w:rsidRPr="008D0E4D">
              <w:rPr>
                <w:rFonts w:ascii="Calibri" w:hAnsi="Calibri"/>
                <w:color w:val="FFFFFF"/>
                <w:sz w:val="22"/>
                <w:szCs w:val="22"/>
              </w:rPr>
              <w:t> </w:t>
            </w:r>
          </w:p>
        </w:tc>
        <w:tc>
          <w:tcPr>
            <w:tcW w:w="64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2880" w:type="dxa"/>
            <w:tcBorders>
              <w:top w:val="nil"/>
              <w:left w:val="nil"/>
              <w:bottom w:val="nil"/>
              <w:right w:val="nil"/>
            </w:tcBorders>
            <w:shd w:val="clear" w:color="000000" w:fill="16365C"/>
            <w:noWrap/>
            <w:vAlign w:val="bottom"/>
            <w:hideMark/>
          </w:tcPr>
          <w:p w:rsidR="008D0E4D" w:rsidRPr="008D0E4D" w:rsidP="008D0E4D">
            <w:pPr>
              <w:jc w:val="center"/>
              <w:rPr>
                <w:rFonts w:ascii="Calibri" w:hAnsi="Calibri"/>
                <w:color w:val="FFFFFF"/>
                <w:sz w:val="22"/>
                <w:szCs w:val="22"/>
              </w:rPr>
            </w:pPr>
            <w:r w:rsidRPr="008D0E4D">
              <w:rPr>
                <w:rFonts w:ascii="Calibri" w:hAnsi="Calibri"/>
                <w:color w:val="FFFFFF"/>
                <w:sz w:val="22"/>
                <w:szCs w:val="22"/>
              </w:rPr>
              <w:t> </w:t>
            </w:r>
          </w:p>
        </w:tc>
      </w:tr>
      <w:tr w:rsidTr="008D0E4D">
        <w:tblPrEx>
          <w:tblW w:w="9980" w:type="dxa"/>
          <w:tblInd w:w="93" w:type="dxa"/>
          <w:tblLook w:val="04A0"/>
        </w:tblPrEx>
        <w:trPr>
          <w:trHeight w:val="375"/>
        </w:trPr>
        <w:tc>
          <w:tcPr>
            <w:tcW w:w="9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9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9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166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1920" w:type="dxa"/>
            <w:tcBorders>
              <w:top w:val="nil"/>
              <w:left w:val="nil"/>
              <w:bottom w:val="nil"/>
              <w:right w:val="nil"/>
            </w:tcBorders>
            <w:shd w:val="clear" w:color="000000" w:fill="16365C"/>
            <w:noWrap/>
            <w:vAlign w:val="bottom"/>
            <w:hideMark/>
          </w:tcPr>
          <w:p w:rsidR="008D0E4D" w:rsidRPr="008D0E4D" w:rsidP="008D0E4D">
            <w:pPr>
              <w:jc w:val="center"/>
              <w:rPr>
                <w:rFonts w:ascii="Calibri" w:hAnsi="Calibri"/>
                <w:b/>
                <w:bCs/>
                <w:color w:val="FFFFFF"/>
                <w:sz w:val="28"/>
                <w:szCs w:val="28"/>
              </w:rPr>
            </w:pPr>
            <w:r w:rsidRPr="008D0E4D">
              <w:rPr>
                <w:rFonts w:ascii="Calibri" w:hAnsi="Calibri"/>
                <w:b/>
                <w:bCs/>
                <w:color w:val="FFFFFF"/>
                <w:sz w:val="28"/>
                <w:szCs w:val="28"/>
              </w:rPr>
              <w:t>Review</w:t>
            </w:r>
          </w:p>
        </w:tc>
        <w:tc>
          <w:tcPr>
            <w:tcW w:w="640" w:type="dxa"/>
            <w:tcBorders>
              <w:top w:val="nil"/>
              <w:left w:val="nil"/>
              <w:bottom w:val="nil"/>
              <w:right w:val="nil"/>
            </w:tcBorders>
            <w:shd w:val="clear" w:color="000000" w:fill="16365C"/>
            <w:noWrap/>
            <w:vAlign w:val="bottom"/>
            <w:hideMark/>
          </w:tcPr>
          <w:p w:rsidR="008D0E4D" w:rsidRPr="008D0E4D" w:rsidP="008D0E4D">
            <w:pPr>
              <w:rPr>
                <w:rFonts w:ascii="Calibri" w:hAnsi="Calibri"/>
                <w:color w:val="FFFFFF"/>
                <w:sz w:val="22"/>
                <w:szCs w:val="22"/>
              </w:rPr>
            </w:pPr>
            <w:r w:rsidRPr="008D0E4D">
              <w:rPr>
                <w:rFonts w:ascii="Calibri" w:hAnsi="Calibri"/>
                <w:color w:val="FFFFFF"/>
                <w:sz w:val="22"/>
                <w:szCs w:val="22"/>
              </w:rPr>
              <w:t> </w:t>
            </w:r>
          </w:p>
        </w:tc>
        <w:tc>
          <w:tcPr>
            <w:tcW w:w="2880" w:type="dxa"/>
            <w:tcBorders>
              <w:top w:val="nil"/>
              <w:left w:val="nil"/>
              <w:bottom w:val="nil"/>
              <w:right w:val="nil"/>
            </w:tcBorders>
            <w:shd w:val="clear" w:color="000000" w:fill="16365C"/>
            <w:noWrap/>
            <w:vAlign w:val="bottom"/>
            <w:hideMark/>
          </w:tcPr>
          <w:p w:rsidR="008D0E4D" w:rsidRPr="008D0E4D" w:rsidP="008D0E4D">
            <w:pPr>
              <w:jc w:val="center"/>
              <w:rPr>
                <w:rFonts w:ascii="Calibri" w:hAnsi="Calibri"/>
                <w:b/>
                <w:bCs/>
                <w:color w:val="FFFFFF"/>
                <w:sz w:val="28"/>
                <w:szCs w:val="28"/>
              </w:rPr>
            </w:pPr>
            <w:r w:rsidRPr="008D0E4D">
              <w:rPr>
                <w:rFonts w:ascii="Calibri" w:hAnsi="Calibri"/>
                <w:b/>
                <w:bCs/>
                <w:color w:val="FFFFFF"/>
                <w:sz w:val="28"/>
                <w:szCs w:val="28"/>
              </w:rPr>
              <w:t>Report to Board</w:t>
            </w:r>
          </w:p>
        </w:tc>
      </w:tr>
      <w:tr w:rsidTr="008D0E4D">
        <w:tblPrEx>
          <w:tblW w:w="9980" w:type="dxa"/>
          <w:tblInd w:w="93" w:type="dxa"/>
          <w:tblLook w:val="04A0"/>
        </w:tblPrEx>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Material Events on Municipal Bonds</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upon notice</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r>
      <w:tr w:rsidTr="008D0E4D">
        <w:tblPrEx>
          <w:tblW w:w="9980" w:type="dxa"/>
          <w:tblInd w:w="93" w:type="dxa"/>
          <w:tblLook w:val="04A0"/>
        </w:tblPrEx>
        <w:trPr>
          <w:trHeight w:val="300"/>
        </w:trPr>
        <w:tc>
          <w:tcPr>
            <w:tcW w:w="4540" w:type="dxa"/>
            <w:gridSpan w:val="4"/>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Ratings for each municipal, corporate, and</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least quarterly</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asset-backed security</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gridSpan w:val="2"/>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(where available)</w:t>
            </w:r>
          </w:p>
        </w:tc>
        <w:tc>
          <w:tcPr>
            <w:tcW w:w="16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r>
      <w:tr w:rsidTr="008D0E4D">
        <w:tblPrEx>
          <w:tblW w:w="9980" w:type="dxa"/>
          <w:tblInd w:w="93" w:type="dxa"/>
          <w:tblLook w:val="04A0"/>
        </w:tblPrEx>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Financials and news on any bond for</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least quarterly</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Report expected payment</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which a payment has been</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interruption to board and</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or is expected to be missed</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xml:space="preserve">keep board informed on </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any changes.</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r>
      <w:tr w:rsidTr="008D0E4D">
        <w:tblPrEx>
          <w:tblW w:w="9980" w:type="dxa"/>
          <w:tblInd w:w="93" w:type="dxa"/>
          <w:tblLook w:val="04A0"/>
        </w:tblPrEx>
        <w:trPr>
          <w:trHeight w:val="300"/>
        </w:trPr>
        <w:tc>
          <w:tcPr>
            <w:tcW w:w="4540" w:type="dxa"/>
            <w:gridSpan w:val="4"/>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Financials on munis on the "Annual Review"</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least annually</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list maintained per policy</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r>
      <w:tr w:rsidTr="008D0E4D">
        <w:tblPrEx>
          <w:tblW w:w="9980" w:type="dxa"/>
          <w:tblInd w:w="93" w:type="dxa"/>
          <w:tblLook w:val="04A0"/>
        </w:tblPrEx>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News on out of area municipals for which</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least annually</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xml:space="preserve">there has no been a ratings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update/affirmation in the past</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gridSpan w:val="2"/>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12 months</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r>
      <w:tr w:rsidTr="008D0E4D">
        <w:tblPrEx>
          <w:tblW w:w="9980" w:type="dxa"/>
          <w:tblInd w:w="93" w:type="dxa"/>
          <w:tblLook w:val="04A0"/>
        </w:tblPrEx>
        <w:trPr>
          <w:trHeight w:val="300"/>
        </w:trPr>
        <w:tc>
          <w:tcPr>
            <w:tcW w:w="4540" w:type="dxa"/>
            <w:gridSpan w:val="4"/>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Corporate bonds - review news, financials,</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least annually</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stock price, and other relevant</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gridSpan w:val="2"/>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information</w:t>
            </w:r>
          </w:p>
        </w:tc>
        <w:tc>
          <w:tcPr>
            <w:tcW w:w="166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r>
      <w:tr w:rsidTr="008D0E4D">
        <w:tblPrEx>
          <w:tblW w:w="9980" w:type="dxa"/>
          <w:tblInd w:w="93" w:type="dxa"/>
          <w:tblLook w:val="04A0"/>
        </w:tblPrEx>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Other-than-temporary impairment review</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Quarterly at</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Report any securities</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Quarter End</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for which OTTI is recor</w:t>
            </w:r>
            <w:r w:rsidR="005646CE">
              <w:rPr>
                <w:rFonts w:ascii="Calibri" w:hAnsi="Calibri"/>
                <w:color w:val="000000"/>
                <w:sz w:val="22"/>
                <w:szCs w:val="22"/>
              </w:rPr>
              <w:t>d</w:t>
            </w:r>
            <w:r w:rsidRPr="008D0E4D">
              <w:rPr>
                <w:rFonts w:ascii="Calibri" w:hAnsi="Calibri"/>
                <w:color w:val="000000"/>
                <w:sz w:val="22"/>
                <w:szCs w:val="22"/>
              </w:rPr>
              <w:t>ed</w:t>
            </w:r>
          </w:p>
        </w:tc>
      </w:tr>
      <w:tr w:rsidTr="008D0E4D">
        <w:tblPrEx>
          <w:tblW w:w="9980" w:type="dxa"/>
          <w:tblInd w:w="93" w:type="dxa"/>
          <w:tblLook w:val="04A0"/>
        </w:tblPrEx>
        <w:trPr>
          <w:trHeight w:val="300"/>
        </w:trPr>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bl>
    <w:p w:rsidR="00A65EA6" w:rsidP="00A65EA6">
      <w:pPr>
        <w:ind w:left="-270"/>
        <w:rPr>
          <w:rFonts w:ascii="Arial" w:hAnsi="Arial" w:cs="Arial"/>
          <w:sz w:val="22"/>
          <w:szCs w:val="24"/>
        </w:rPr>
      </w:pPr>
    </w:p>
    <w:p w:rsidR="004E70F3"/>
    <w:p w:rsidR="000F358E">
      <w:pPr>
        <w:pStyle w:val="Heading2"/>
        <w:rPr>
          <w:rFonts w:ascii="Arial" w:hAnsi="Arial" w:cs="Arial"/>
          <w:sz w:val="22"/>
          <w:szCs w:val="24"/>
          <w:u w:val="none"/>
        </w:rPr>
      </w:pPr>
      <w:r>
        <w:rPr>
          <w:rFonts w:ascii="Arial" w:hAnsi="Arial" w:cs="Arial"/>
          <w:sz w:val="22"/>
          <w:szCs w:val="24"/>
          <w:u w:val="none"/>
        </w:rPr>
        <w:t>VII</w:t>
      </w:r>
      <w:r w:rsidRPr="00240B43" w:rsidR="00240B43">
        <w:rPr>
          <w:rFonts w:ascii="Arial" w:hAnsi="Arial" w:cs="Arial"/>
          <w:sz w:val="22"/>
          <w:szCs w:val="24"/>
          <w:u w:val="none"/>
        </w:rPr>
        <w:t>. Liquidity and Reinvestment Risk</w:t>
      </w:r>
    </w:p>
    <w:p w:rsidR="004E70F3"/>
    <w:p w:rsidR="000F358E" w:rsidRPr="00C11675">
      <w:pPr>
        <w:pStyle w:val="BodyText21"/>
        <w:rPr>
          <w:rFonts w:ascii="Arial" w:hAnsi="Arial" w:cs="Arial"/>
          <w:sz w:val="22"/>
          <w:szCs w:val="24"/>
        </w:rPr>
      </w:pPr>
      <w:r w:rsidRPr="00C11675">
        <w:rPr>
          <w:rFonts w:ascii="Arial" w:hAnsi="Arial" w:cs="Arial"/>
          <w:sz w:val="22"/>
          <w:szCs w:val="24"/>
        </w:rPr>
        <w:t>The investment portfolio serves as a primary component of the liquidity position. Liquidity is defined as the ability of the portfolio to fund a change in balance sheet mix.</w:t>
      </w:r>
    </w:p>
    <w:p w:rsidR="000F358E" w:rsidRPr="00C11675">
      <w:pPr>
        <w:pStyle w:val="BodyText21"/>
        <w:rPr>
          <w:rFonts w:ascii="Arial" w:hAnsi="Arial" w:cs="Arial"/>
          <w:sz w:val="22"/>
          <w:szCs w:val="24"/>
        </w:rPr>
      </w:pPr>
    </w:p>
    <w:p w:rsidR="000F358E" w:rsidRPr="00C11675">
      <w:pPr>
        <w:pStyle w:val="BodyText21"/>
        <w:rPr>
          <w:rFonts w:ascii="Arial" w:hAnsi="Arial" w:cs="Arial"/>
          <w:sz w:val="22"/>
          <w:szCs w:val="24"/>
        </w:rPr>
      </w:pPr>
      <w:r w:rsidRPr="00C11675">
        <w:rPr>
          <w:rFonts w:ascii="Arial" w:hAnsi="Arial" w:cs="Arial"/>
          <w:sz w:val="22"/>
          <w:szCs w:val="24"/>
        </w:rPr>
        <w:t xml:space="preserve">Excess liquidity has an unnecessary negative effect on earnings. Because it is anticipated that the portfolio will exhibit some degree of optionality, steps must be taken to ensure that adequate liquidity is available as rates rise and callables extend and </w:t>
      </w:r>
      <w:r w:rsidRPr="00C11675">
        <w:rPr>
          <w:rFonts w:ascii="Arial" w:hAnsi="Arial" w:cs="Arial"/>
          <w:sz w:val="22"/>
          <w:szCs w:val="24"/>
        </w:rPr>
        <w:t xml:space="preserve">mortgage-related instruments prepay at a slower rate. Conversely, the institution will ensure that it is not forced to reinvest excessive amounts if rates fall and calls and prepayments accelerate. </w:t>
      </w:r>
    </w:p>
    <w:p w:rsidR="000F358E" w:rsidRPr="00C11675">
      <w:pPr>
        <w:pStyle w:val="BodyText21"/>
        <w:rPr>
          <w:rFonts w:ascii="Arial" w:hAnsi="Arial" w:cs="Arial"/>
          <w:sz w:val="22"/>
          <w:szCs w:val="24"/>
        </w:rPr>
      </w:pPr>
    </w:p>
    <w:p w:rsidR="000F358E" w:rsidRPr="00C11675">
      <w:pPr>
        <w:pStyle w:val="BodyText21"/>
        <w:rPr>
          <w:rFonts w:ascii="Arial" w:hAnsi="Arial" w:cs="Arial"/>
          <w:sz w:val="22"/>
          <w:szCs w:val="24"/>
        </w:rPr>
      </w:pPr>
      <w:r w:rsidRPr="00C11675">
        <w:rPr>
          <w:rFonts w:ascii="Arial" w:hAnsi="Arial" w:cs="Arial"/>
          <w:sz w:val="22"/>
          <w:szCs w:val="24"/>
        </w:rPr>
        <w:t xml:space="preserve">In that regard, the institution will strive to maintain a liquidity portfolio </w:t>
      </w:r>
      <w:r w:rsidRPr="00C11675" w:rsidR="00DD0FA2">
        <w:rPr>
          <w:rFonts w:ascii="Arial" w:hAnsi="Arial" w:cs="Arial"/>
          <w:sz w:val="22"/>
          <w:szCs w:val="24"/>
        </w:rPr>
        <w:t>[defined as overnight funds plus all anticipated investment principal cash flows (maturities, calls, paydowns, etc.) to be received over a two-year time frame.] as follows:</w:t>
      </w:r>
    </w:p>
    <w:p w:rsidR="00DD0FA2" w:rsidRPr="00C11675" w:rsidP="00DD0FA2">
      <w:pPr>
        <w:tabs>
          <w:tab w:val="left" w:pos="720"/>
          <w:tab w:val="center" w:pos="6840"/>
        </w:tabs>
        <w:jc w:val="both"/>
        <w:rPr>
          <w:rFonts w:ascii="Arial" w:hAnsi="Arial" w:cs="Arial"/>
          <w:i/>
          <w:sz w:val="22"/>
        </w:rPr>
      </w:pPr>
    </w:p>
    <w:p w:rsidR="00DD0FA2" w:rsidRPr="00C11675" w:rsidP="00DD0FA2">
      <w:pPr>
        <w:tabs>
          <w:tab w:val="left" w:pos="720"/>
          <w:tab w:val="center" w:pos="6840"/>
        </w:tabs>
        <w:jc w:val="both"/>
        <w:rPr>
          <w:rFonts w:ascii="Arial" w:hAnsi="Arial" w:cs="Arial"/>
          <w:sz w:val="22"/>
        </w:rPr>
      </w:pPr>
      <w:r w:rsidRPr="00C11675">
        <w:rPr>
          <w:rFonts w:ascii="Arial" w:hAnsi="Arial" w:cs="Arial"/>
          <w:sz w:val="22"/>
        </w:rPr>
        <w:tab/>
        <w:t>-200bp Scenario</w:t>
      </w:r>
      <w:r w:rsidRPr="00C11675">
        <w:rPr>
          <w:rFonts w:ascii="Arial" w:hAnsi="Arial" w:cs="Arial"/>
          <w:sz w:val="22"/>
        </w:rPr>
        <w:tab/>
        <w:t>&lt;=20% of assets</w:t>
      </w:r>
    </w:p>
    <w:p w:rsidR="00DD0FA2" w:rsidRPr="00C11675" w:rsidP="00DD0FA2">
      <w:pPr>
        <w:tabs>
          <w:tab w:val="left" w:pos="720"/>
          <w:tab w:val="center" w:pos="6840"/>
        </w:tabs>
        <w:jc w:val="both"/>
        <w:rPr>
          <w:rFonts w:ascii="Arial" w:hAnsi="Arial" w:cs="Arial"/>
          <w:sz w:val="22"/>
        </w:rPr>
      </w:pPr>
      <w:r w:rsidRPr="00C11675">
        <w:rPr>
          <w:rFonts w:ascii="Arial" w:hAnsi="Arial" w:cs="Arial"/>
          <w:sz w:val="22"/>
        </w:rPr>
        <w:tab/>
        <w:t>-100 Scenario</w:t>
      </w:r>
      <w:r w:rsidRPr="00C11675">
        <w:rPr>
          <w:rFonts w:ascii="Arial" w:hAnsi="Arial" w:cs="Arial"/>
          <w:sz w:val="22"/>
        </w:rPr>
        <w:tab/>
        <w:t>10-15% of assets</w:t>
      </w:r>
    </w:p>
    <w:p w:rsidR="00DD0FA2" w:rsidRPr="00C11675" w:rsidP="00DD0FA2">
      <w:pPr>
        <w:tabs>
          <w:tab w:val="left" w:pos="720"/>
          <w:tab w:val="center" w:pos="6840"/>
        </w:tabs>
        <w:jc w:val="both"/>
        <w:rPr>
          <w:rFonts w:ascii="Arial" w:hAnsi="Arial" w:cs="Arial"/>
          <w:sz w:val="22"/>
        </w:rPr>
      </w:pPr>
      <w:r w:rsidRPr="00C11675">
        <w:rPr>
          <w:rFonts w:ascii="Arial" w:hAnsi="Arial" w:cs="Arial"/>
          <w:sz w:val="22"/>
        </w:rPr>
        <w:tab/>
        <w:t>Base Case</w:t>
      </w:r>
      <w:r w:rsidRPr="00C11675">
        <w:rPr>
          <w:rFonts w:ascii="Arial" w:hAnsi="Arial" w:cs="Arial"/>
          <w:sz w:val="22"/>
        </w:rPr>
        <w:tab/>
        <w:t>10-15% of assets</w:t>
      </w:r>
    </w:p>
    <w:p w:rsidR="00DD0FA2" w:rsidRPr="00C11675" w:rsidP="00DD0FA2">
      <w:pPr>
        <w:tabs>
          <w:tab w:val="left" w:pos="720"/>
          <w:tab w:val="center" w:pos="6840"/>
        </w:tabs>
        <w:jc w:val="both"/>
        <w:rPr>
          <w:rFonts w:ascii="Arial" w:hAnsi="Arial" w:cs="Arial"/>
          <w:sz w:val="22"/>
        </w:rPr>
      </w:pPr>
      <w:r w:rsidRPr="00C11675">
        <w:rPr>
          <w:rFonts w:ascii="Arial" w:hAnsi="Arial" w:cs="Arial"/>
          <w:sz w:val="22"/>
        </w:rPr>
        <w:tab/>
        <w:t>+100bp Scenario</w:t>
      </w:r>
      <w:r w:rsidRPr="00C11675">
        <w:rPr>
          <w:rFonts w:ascii="Arial" w:hAnsi="Arial" w:cs="Arial"/>
          <w:sz w:val="22"/>
        </w:rPr>
        <w:tab/>
        <w:t>10-15% of assets</w:t>
      </w:r>
    </w:p>
    <w:p w:rsidR="00DD0FA2" w:rsidRPr="00C11675" w:rsidP="00DD0FA2">
      <w:pPr>
        <w:tabs>
          <w:tab w:val="left" w:pos="720"/>
          <w:tab w:val="center" w:pos="6840"/>
        </w:tabs>
        <w:jc w:val="both"/>
        <w:rPr>
          <w:rFonts w:ascii="Arial" w:hAnsi="Arial" w:cs="Arial"/>
          <w:sz w:val="22"/>
        </w:rPr>
      </w:pPr>
      <w:r w:rsidRPr="00C11675">
        <w:rPr>
          <w:rFonts w:ascii="Arial" w:hAnsi="Arial" w:cs="Arial"/>
          <w:sz w:val="22"/>
        </w:rPr>
        <w:tab/>
        <w:t>+200bp Scenario</w:t>
      </w:r>
      <w:r w:rsidRPr="00C11675">
        <w:rPr>
          <w:rFonts w:ascii="Arial" w:hAnsi="Arial" w:cs="Arial"/>
          <w:sz w:val="22"/>
        </w:rPr>
        <w:tab/>
        <w:t>&gt;=5% of assets</w:t>
      </w:r>
    </w:p>
    <w:p w:rsidR="00DD0FA2" w:rsidRPr="00C11675">
      <w:pPr>
        <w:pStyle w:val="BodyText21"/>
        <w:rPr>
          <w:rFonts w:ascii="Arial" w:hAnsi="Arial" w:cs="Arial"/>
          <w:sz w:val="22"/>
          <w:szCs w:val="24"/>
        </w:rPr>
      </w:pPr>
    </w:p>
    <w:p w:rsidR="000F358E" w:rsidRPr="00C11675">
      <w:pPr>
        <w:rPr>
          <w:rFonts w:ascii="Arial" w:hAnsi="Arial" w:cs="Arial"/>
          <w:sz w:val="22"/>
          <w:szCs w:val="24"/>
        </w:rPr>
      </w:pPr>
    </w:p>
    <w:p w:rsidR="000F358E" w:rsidRPr="00C11675">
      <w:pPr>
        <w:rPr>
          <w:rFonts w:ascii="Arial" w:hAnsi="Arial" w:cs="Arial"/>
          <w:sz w:val="22"/>
          <w:szCs w:val="24"/>
        </w:rPr>
      </w:pPr>
      <w:r w:rsidRPr="00C11675">
        <w:rPr>
          <w:rFonts w:ascii="Arial" w:hAnsi="Arial" w:cs="Arial"/>
          <w:sz w:val="22"/>
          <w:szCs w:val="24"/>
        </w:rPr>
        <w:t>Additional liquidity ratios will be calculated in managing the liquidity of the bank. Those ratios are specified in the Liquidity Policy.</w:t>
      </w:r>
    </w:p>
    <w:p w:rsidR="000F358E" w:rsidRPr="00C11675">
      <w:pPr>
        <w:rPr>
          <w:rFonts w:ascii="Arial" w:hAnsi="Arial" w:cs="Arial"/>
          <w:sz w:val="22"/>
          <w:szCs w:val="24"/>
        </w:rPr>
      </w:pPr>
    </w:p>
    <w:p w:rsidR="000F358E">
      <w:pPr>
        <w:pStyle w:val="BodyText21"/>
        <w:rPr>
          <w:rFonts w:ascii="Arial" w:hAnsi="Arial" w:cs="Arial"/>
          <w:sz w:val="22"/>
          <w:szCs w:val="24"/>
        </w:rPr>
      </w:pPr>
      <w:r>
        <w:rPr>
          <w:rFonts w:ascii="Arial" w:hAnsi="Arial" w:cs="Arial"/>
          <w:sz w:val="22"/>
          <w:szCs w:val="24"/>
        </w:rPr>
        <w:t>VIII</w:t>
      </w:r>
      <w:r w:rsidRPr="00240B43" w:rsidR="00240B43">
        <w:rPr>
          <w:rFonts w:ascii="Arial" w:hAnsi="Arial" w:cs="Arial"/>
          <w:sz w:val="22"/>
          <w:szCs w:val="24"/>
        </w:rPr>
        <w:t>. Settlement Risk</w:t>
      </w:r>
    </w:p>
    <w:p w:rsidR="005665EF" w:rsidRPr="005665EF">
      <w:pPr>
        <w:pStyle w:val="BodyText21"/>
        <w:rPr>
          <w:rFonts w:ascii="Arial" w:hAnsi="Arial" w:cs="Arial"/>
          <w:sz w:val="22"/>
          <w:szCs w:val="24"/>
        </w:rPr>
      </w:pPr>
    </w:p>
    <w:p w:rsidR="004E70F3">
      <w:pPr>
        <w:pStyle w:val="Heading2"/>
        <w:jc w:val="both"/>
        <w:rPr>
          <w:rFonts w:ascii="Arial" w:hAnsi="Arial" w:cs="Arial"/>
          <w:sz w:val="22"/>
          <w:szCs w:val="24"/>
          <w:u w:val="none"/>
        </w:rPr>
      </w:pPr>
      <w:r w:rsidRPr="00C11675">
        <w:rPr>
          <w:rFonts w:ascii="Arial" w:hAnsi="Arial" w:cs="Arial"/>
          <w:sz w:val="22"/>
          <w:szCs w:val="24"/>
          <w:u w:val="none"/>
        </w:rPr>
        <w:t>Settlement and pre-settlement risk will be limited by ensuring that all transactions are executed as “delivery versus payment.” Issuer and counterparty credit lines are strictly prohibited.</w:t>
      </w:r>
    </w:p>
    <w:p w:rsidR="000F358E" w:rsidRPr="00C11675">
      <w:pPr>
        <w:pStyle w:val="BodyText21"/>
        <w:rPr>
          <w:rFonts w:ascii="Arial" w:hAnsi="Arial" w:cs="Arial"/>
          <w:sz w:val="22"/>
          <w:szCs w:val="24"/>
        </w:rPr>
      </w:pPr>
    </w:p>
    <w:p w:rsidR="000F358E">
      <w:pPr>
        <w:pStyle w:val="BodyText21"/>
        <w:rPr>
          <w:rFonts w:ascii="Arial" w:hAnsi="Arial" w:cs="Arial"/>
          <w:sz w:val="22"/>
          <w:szCs w:val="24"/>
        </w:rPr>
      </w:pPr>
      <w:r>
        <w:rPr>
          <w:rFonts w:ascii="Arial" w:hAnsi="Arial" w:cs="Arial"/>
          <w:sz w:val="22"/>
          <w:szCs w:val="24"/>
        </w:rPr>
        <w:t>IX</w:t>
      </w:r>
      <w:r w:rsidRPr="00240B43" w:rsidR="00240B43">
        <w:rPr>
          <w:rFonts w:ascii="Arial" w:hAnsi="Arial" w:cs="Arial"/>
          <w:sz w:val="22"/>
          <w:szCs w:val="24"/>
        </w:rPr>
        <w:t>. Selection of Securities Dealers</w:t>
      </w:r>
    </w:p>
    <w:p w:rsidR="005665EF" w:rsidRPr="005665EF">
      <w:pPr>
        <w:pStyle w:val="BodyText21"/>
        <w:rPr>
          <w:rFonts w:ascii="Arial" w:hAnsi="Arial" w:cs="Arial"/>
          <w:sz w:val="22"/>
          <w:szCs w:val="24"/>
        </w:rPr>
      </w:pPr>
    </w:p>
    <w:p w:rsidR="000F358E" w:rsidRPr="00C11675">
      <w:pPr>
        <w:pStyle w:val="BodyText21"/>
        <w:rPr>
          <w:rFonts w:ascii="Arial" w:hAnsi="Arial" w:cs="Arial"/>
          <w:sz w:val="22"/>
          <w:szCs w:val="24"/>
        </w:rPr>
      </w:pPr>
      <w:r w:rsidRPr="00C11675">
        <w:rPr>
          <w:rFonts w:ascii="Arial" w:hAnsi="Arial" w:cs="Arial"/>
          <w:sz w:val="22"/>
          <w:szCs w:val="24"/>
        </w:rPr>
        <w:t xml:space="preserve">The Board of Directors and Investment Committee </w:t>
      </w:r>
      <w:r w:rsidRPr="00C11675" w:rsidR="00191031">
        <w:rPr>
          <w:rFonts w:ascii="Arial" w:hAnsi="Arial" w:cs="Arial"/>
          <w:sz w:val="22"/>
          <w:szCs w:val="24"/>
        </w:rPr>
        <w:t>have</w:t>
      </w:r>
      <w:r w:rsidRPr="00C11675">
        <w:rPr>
          <w:rFonts w:ascii="Arial" w:hAnsi="Arial" w:cs="Arial"/>
          <w:sz w:val="22"/>
          <w:szCs w:val="24"/>
        </w:rPr>
        <w:t xml:space="preserve"> approved the following list of securities firms with which the institution may transact business:</w:t>
      </w:r>
    </w:p>
    <w:p w:rsidR="000F358E" w:rsidRPr="00C11675">
      <w:pPr>
        <w:rPr>
          <w:rFonts w:ascii="Arial" w:hAnsi="Arial" w:cs="Arial"/>
          <w:sz w:val="22"/>
          <w:szCs w:val="24"/>
        </w:rPr>
      </w:pPr>
    </w:p>
    <w:p w:rsidR="000F358E" w:rsidRPr="00C11675">
      <w:pPr>
        <w:pStyle w:val="Header"/>
        <w:tabs>
          <w:tab w:val="left" w:pos="1440"/>
          <w:tab w:val="clear" w:pos="4320"/>
          <w:tab w:val="left" w:pos="4680"/>
          <w:tab w:val="clear" w:pos="8640"/>
        </w:tabs>
        <w:rPr>
          <w:rFonts w:ascii="Arial" w:hAnsi="Arial" w:cs="Arial"/>
          <w:sz w:val="22"/>
          <w:szCs w:val="24"/>
        </w:rPr>
      </w:pPr>
      <w:r w:rsidRPr="00C11675">
        <w:rPr>
          <w:rFonts w:ascii="Arial" w:hAnsi="Arial" w:cs="Arial"/>
          <w:sz w:val="22"/>
          <w:szCs w:val="24"/>
        </w:rPr>
        <w:tab/>
      </w:r>
      <w:r w:rsidR="004C10D9">
        <w:rPr>
          <w:rFonts w:ascii="Arial" w:hAnsi="Arial" w:cs="Arial"/>
          <w:sz w:val="22"/>
          <w:szCs w:val="24"/>
        </w:rPr>
        <w:t>Stifel</w:t>
      </w:r>
      <w:r w:rsidRPr="00C11675">
        <w:rPr>
          <w:rFonts w:ascii="Arial" w:hAnsi="Arial" w:cs="Arial"/>
          <w:sz w:val="22"/>
          <w:szCs w:val="24"/>
        </w:rPr>
        <w:tab/>
        <w:t>Memphis, Tennessee</w:t>
      </w:r>
    </w:p>
    <w:p w:rsidR="000F358E" w:rsidRPr="00C11675">
      <w:pPr>
        <w:pStyle w:val="Header"/>
        <w:tabs>
          <w:tab w:val="left" w:pos="1440"/>
          <w:tab w:val="clear" w:pos="4320"/>
          <w:tab w:val="left" w:pos="4680"/>
          <w:tab w:val="clear" w:pos="8640"/>
        </w:tabs>
        <w:rPr>
          <w:rFonts w:ascii="Arial" w:hAnsi="Arial" w:cs="Arial"/>
          <w:sz w:val="22"/>
          <w:szCs w:val="24"/>
        </w:rPr>
      </w:pPr>
    </w:p>
    <w:p w:rsidR="000F358E" w:rsidRPr="00C11675">
      <w:pPr>
        <w:pStyle w:val="BodyText21"/>
        <w:rPr>
          <w:rFonts w:ascii="Arial" w:hAnsi="Arial" w:cs="Arial"/>
          <w:sz w:val="22"/>
          <w:szCs w:val="24"/>
        </w:rPr>
      </w:pPr>
      <w:r w:rsidRPr="00C11675">
        <w:rPr>
          <w:rFonts w:ascii="Arial" w:hAnsi="Arial" w:cs="Arial"/>
          <w:sz w:val="22"/>
          <w:szCs w:val="24"/>
        </w:rPr>
        <w:t>The dealer selection process includes the following qualifications; and for any additional firms to be considered, management must document the following:</w:t>
      </w:r>
    </w:p>
    <w:p w:rsidR="000F358E" w:rsidRPr="00C11675">
      <w:pPr>
        <w:rPr>
          <w:rFonts w:ascii="Arial" w:hAnsi="Arial" w:cs="Arial"/>
          <w:sz w:val="22"/>
          <w:szCs w:val="24"/>
        </w:rPr>
      </w:pP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A review of the institution's current financial statements, annual reports, credit reports, etc., and determination made as to the dealer's ability to honor its commitments based on capital strength and operating results.</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An inquiry into the general reputation of the securities dealer for financial stability and fair and honest dealings with customers.</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An inquiry into State and Federal securities regulators (NASD, OCC, etc.) concerning any formal enforcement actions against the dealer, its affiliates or associated personnel.</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An inquiry, as appropriate, into the background of the sales representatives to determine his or her experience and expertise.</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Purchased securities and repurchase agreement collateral will only be kept in safekeeping with selling dealers when (1) the board is completely satisfied as to the credit-worthiness of the securities dealer and (2) the aggregate value of securities held in safekeeping in this manner is within credit limitations that have been approved by the board of directors, or a committee of the board, for unsecured transactions.</w:t>
      </w:r>
    </w:p>
    <w:p w:rsidR="000F358E" w:rsidRPr="00C11675">
      <w:pPr>
        <w:numPr>
          <w:ilvl w:val="12"/>
          <w:numId w:val="0"/>
        </w:numPr>
        <w:rPr>
          <w:rFonts w:ascii="Arial" w:hAnsi="Arial" w:cs="Arial"/>
          <w:sz w:val="22"/>
          <w:szCs w:val="24"/>
        </w:rPr>
      </w:pPr>
    </w:p>
    <w:p w:rsidR="000F358E" w:rsidRPr="00C11675">
      <w:pPr>
        <w:pStyle w:val="BodyText21"/>
        <w:numPr>
          <w:ilvl w:val="12"/>
          <w:numId w:val="0"/>
        </w:numPr>
        <w:rPr>
          <w:rFonts w:ascii="Arial" w:hAnsi="Arial" w:cs="Arial"/>
          <w:sz w:val="22"/>
          <w:szCs w:val="24"/>
        </w:rPr>
      </w:pPr>
      <w:r w:rsidRPr="00C11675">
        <w:rPr>
          <w:rFonts w:ascii="Arial" w:hAnsi="Arial" w:cs="Arial"/>
          <w:sz w:val="22"/>
          <w:szCs w:val="24"/>
        </w:rPr>
        <w:t>Management must submit this information to the Board of Directors and Investment Committee for approval at the next regularly scheduled meeting immediately following a transaction with a previously unapproved broker/dealer.</w:t>
      </w:r>
    </w:p>
    <w:p w:rsidR="000F358E" w:rsidRPr="00C11675">
      <w:pPr>
        <w:numPr>
          <w:ilvl w:val="12"/>
          <w:numId w:val="0"/>
        </w:numPr>
        <w:rPr>
          <w:rFonts w:ascii="Arial" w:hAnsi="Arial" w:cs="Arial"/>
          <w:sz w:val="22"/>
          <w:szCs w:val="24"/>
        </w:rPr>
      </w:pPr>
    </w:p>
    <w:p w:rsidR="000F358E">
      <w:pPr>
        <w:pStyle w:val="Heading1"/>
        <w:numPr>
          <w:ilvl w:val="12"/>
          <w:numId w:val="0"/>
        </w:numPr>
        <w:rPr>
          <w:rFonts w:ascii="Arial" w:hAnsi="Arial" w:cs="Arial"/>
          <w:b w:val="0"/>
          <w:smallCaps w:val="0"/>
          <w:sz w:val="22"/>
          <w:szCs w:val="24"/>
        </w:rPr>
      </w:pPr>
      <w:r>
        <w:rPr>
          <w:rFonts w:ascii="Arial" w:hAnsi="Arial" w:cs="Arial"/>
          <w:b w:val="0"/>
          <w:smallCaps w:val="0"/>
          <w:sz w:val="22"/>
          <w:szCs w:val="24"/>
        </w:rPr>
        <w:t>X</w:t>
      </w:r>
      <w:r w:rsidRPr="00C11675">
        <w:rPr>
          <w:rFonts w:ascii="Arial" w:hAnsi="Arial" w:cs="Arial"/>
          <w:b w:val="0"/>
          <w:smallCaps w:val="0"/>
          <w:sz w:val="22"/>
          <w:szCs w:val="24"/>
        </w:rPr>
        <w:t>. Internal Controls</w:t>
      </w:r>
    </w:p>
    <w:p w:rsidR="004E70F3">
      <w:pPr>
        <w:rPr>
          <w:b/>
          <w:smallCaps/>
        </w:rPr>
      </w:pPr>
    </w:p>
    <w:p w:rsidR="004060E0">
      <w:pPr>
        <w:pStyle w:val="BodyText21"/>
        <w:numPr>
          <w:ilvl w:val="12"/>
          <w:numId w:val="0"/>
        </w:numPr>
        <w:rPr>
          <w:rFonts w:ascii="Arial" w:hAnsi="Arial" w:cs="Arial"/>
          <w:sz w:val="22"/>
          <w:szCs w:val="24"/>
        </w:rPr>
      </w:pPr>
      <w:r w:rsidRPr="00C11675">
        <w:rPr>
          <w:rFonts w:ascii="Arial" w:hAnsi="Arial" w:cs="Arial"/>
          <w:sz w:val="22"/>
          <w:szCs w:val="24"/>
        </w:rPr>
        <w:t>At least annually, a person independent of the investment function shall conduct a review of the investment activities risk management program to ensure its integrity, accuracy, and reasonableness. Items</w:t>
      </w:r>
      <w:r w:rsidRPr="00C11675" w:rsidR="0076274B">
        <w:rPr>
          <w:rFonts w:ascii="Arial" w:hAnsi="Arial" w:cs="Arial"/>
          <w:sz w:val="22"/>
          <w:szCs w:val="24"/>
        </w:rPr>
        <w:t xml:space="preserve"> that will be reviewed include the following:</w:t>
      </w:r>
    </w:p>
    <w:p w:rsidR="000F358E" w:rsidRPr="00C11675">
      <w:pPr>
        <w:numPr>
          <w:ilvl w:val="12"/>
          <w:numId w:val="0"/>
        </w:numPr>
        <w:rPr>
          <w:rFonts w:ascii="Arial" w:hAnsi="Arial" w:cs="Arial"/>
          <w:sz w:val="22"/>
          <w:szCs w:val="24"/>
        </w:rPr>
      </w:pP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compliance with and the appropriateness of investment policies, procedures, and limits;</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the appropriateness of the institution's risk measurement system given the nature, scope, and complexity of its activities;</w:t>
      </w:r>
      <w:r w:rsidRPr="00C11675" w:rsidR="0076274B">
        <w:rPr>
          <w:rFonts w:ascii="Arial" w:hAnsi="Arial" w:cs="Arial"/>
          <w:sz w:val="22"/>
          <w:szCs w:val="24"/>
        </w:rPr>
        <w:t xml:space="preserve"> and,</w:t>
      </w:r>
    </w:p>
    <w:p w:rsidR="000F358E" w:rsidRPr="00C11675">
      <w:pPr>
        <w:numPr>
          <w:ilvl w:val="0"/>
          <w:numId w:val="1"/>
        </w:numPr>
        <w:tabs>
          <w:tab w:val="left" w:pos="360"/>
        </w:tabs>
        <w:rPr>
          <w:rFonts w:ascii="Arial" w:hAnsi="Arial" w:cs="Arial"/>
          <w:sz w:val="22"/>
          <w:szCs w:val="24"/>
        </w:rPr>
      </w:pPr>
      <w:r w:rsidRPr="00C11675">
        <w:rPr>
          <w:rFonts w:ascii="Arial" w:hAnsi="Arial" w:cs="Arial"/>
          <w:sz w:val="22"/>
          <w:szCs w:val="24"/>
        </w:rPr>
        <w:t>the timeliness, integrity, and usefulness of reports to the board of directors and senior management.</w:t>
      </w:r>
    </w:p>
    <w:p w:rsidR="004E70F3">
      <w:pPr>
        <w:jc w:val="both"/>
        <w:rPr>
          <w:rFonts w:ascii="Arial" w:hAnsi="Arial" w:cs="Arial"/>
          <w:sz w:val="22"/>
          <w:szCs w:val="24"/>
        </w:rPr>
      </w:pPr>
    </w:p>
    <w:p w:rsidR="004060E0">
      <w:pPr>
        <w:pStyle w:val="BodyText21"/>
        <w:rPr>
          <w:rFonts w:ascii="Arial" w:hAnsi="Arial" w:cs="Arial"/>
          <w:sz w:val="22"/>
          <w:szCs w:val="24"/>
        </w:rPr>
      </w:pPr>
      <w:r w:rsidRPr="00C11675">
        <w:rPr>
          <w:rFonts w:ascii="Arial" w:hAnsi="Arial" w:cs="Arial"/>
          <w:sz w:val="22"/>
          <w:szCs w:val="24"/>
        </w:rPr>
        <w:t>The review will note exceptions to policies, procedures, and limits and suggest corrective actions. The findings of such reviews will be reported to the board and corrective actions taken on a timely basis.</w:t>
      </w:r>
    </w:p>
    <w:p w:rsidR="008C438B">
      <w:pPr>
        <w:pStyle w:val="BodyText21"/>
        <w:rPr>
          <w:rFonts w:ascii="Arial" w:hAnsi="Arial" w:cs="Arial"/>
          <w:sz w:val="22"/>
          <w:szCs w:val="24"/>
        </w:rPr>
      </w:pPr>
    </w:p>
    <w:p w:rsidR="008C438B">
      <w:pPr>
        <w:pStyle w:val="BodyText21"/>
        <w:rPr>
          <w:rFonts w:ascii="Arial" w:hAnsi="Arial" w:cs="Arial"/>
          <w:b/>
          <w:sz w:val="22"/>
          <w:szCs w:val="24"/>
          <w:u w:val="single"/>
        </w:rPr>
      </w:pPr>
      <w:r w:rsidRPr="00240B43">
        <w:rPr>
          <w:rFonts w:ascii="Arial" w:hAnsi="Arial" w:cs="Arial"/>
          <w:b/>
          <w:sz w:val="22"/>
          <w:szCs w:val="24"/>
          <w:u w:val="single"/>
        </w:rPr>
        <w:t>Appendix List</w:t>
      </w:r>
    </w:p>
    <w:p w:rsidR="008C438B">
      <w:pPr>
        <w:pStyle w:val="BodyText21"/>
        <w:rPr>
          <w:rFonts w:ascii="Arial" w:hAnsi="Arial" w:cs="Arial"/>
          <w:b/>
          <w:sz w:val="22"/>
          <w:szCs w:val="24"/>
          <w:u w:val="single"/>
        </w:rPr>
      </w:pPr>
    </w:p>
    <w:p w:rsidR="004E70F3">
      <w:pPr>
        <w:pStyle w:val="BodyText21"/>
        <w:numPr>
          <w:ilvl w:val="0"/>
          <w:numId w:val="16"/>
        </w:numPr>
        <w:rPr>
          <w:rFonts w:ascii="Arial" w:hAnsi="Arial" w:cs="Arial"/>
          <w:b/>
          <w:sz w:val="22"/>
          <w:szCs w:val="24"/>
        </w:rPr>
      </w:pPr>
      <w:r>
        <w:rPr>
          <w:rFonts w:ascii="Arial" w:hAnsi="Arial" w:cs="Arial"/>
          <w:b/>
          <w:sz w:val="22"/>
          <w:szCs w:val="24"/>
        </w:rPr>
        <w:t>Generally Suitable Securities – Interest Rate Risk</w:t>
      </w:r>
    </w:p>
    <w:p w:rsidR="004E70F3">
      <w:pPr>
        <w:pStyle w:val="BodyText21"/>
        <w:numPr>
          <w:ilvl w:val="0"/>
          <w:numId w:val="16"/>
        </w:numPr>
        <w:rPr>
          <w:rFonts w:ascii="Arial" w:hAnsi="Arial" w:cs="Arial"/>
          <w:b/>
          <w:sz w:val="22"/>
          <w:szCs w:val="24"/>
        </w:rPr>
      </w:pPr>
      <w:r>
        <w:rPr>
          <w:rFonts w:ascii="Arial" w:hAnsi="Arial" w:cs="Arial"/>
          <w:b/>
          <w:sz w:val="22"/>
          <w:szCs w:val="24"/>
        </w:rPr>
        <w:t>Generally Suitable Securities – Credit Risk</w:t>
      </w:r>
    </w:p>
    <w:p w:rsidR="004E70F3">
      <w:pPr>
        <w:pStyle w:val="BodyText21"/>
        <w:numPr>
          <w:ilvl w:val="0"/>
          <w:numId w:val="16"/>
        </w:numPr>
        <w:rPr>
          <w:rFonts w:ascii="Arial" w:hAnsi="Arial" w:cs="Arial"/>
          <w:b/>
          <w:sz w:val="22"/>
          <w:szCs w:val="24"/>
        </w:rPr>
      </w:pPr>
      <w:r>
        <w:rPr>
          <w:rFonts w:ascii="Arial" w:hAnsi="Arial" w:cs="Arial"/>
          <w:b/>
          <w:sz w:val="22"/>
          <w:szCs w:val="24"/>
        </w:rPr>
        <w:t>Credit Risk Assessment Matrix</w:t>
      </w:r>
    </w:p>
    <w:p w:rsidR="004E70F3">
      <w:pPr>
        <w:pStyle w:val="BodyText21"/>
        <w:numPr>
          <w:ilvl w:val="0"/>
          <w:numId w:val="16"/>
        </w:numPr>
        <w:rPr>
          <w:rFonts w:ascii="Arial" w:hAnsi="Arial" w:cs="Arial"/>
          <w:b/>
          <w:sz w:val="22"/>
          <w:szCs w:val="24"/>
        </w:rPr>
      </w:pPr>
      <w:r>
        <w:rPr>
          <w:rFonts w:ascii="Arial" w:hAnsi="Arial" w:cs="Arial"/>
          <w:b/>
          <w:sz w:val="22"/>
          <w:szCs w:val="24"/>
        </w:rPr>
        <w:t>Credit Review Summary</w:t>
      </w:r>
    </w:p>
    <w:p w:rsidR="004E70F3">
      <w:pPr>
        <w:pStyle w:val="BodyText21"/>
        <w:numPr>
          <w:ilvl w:val="0"/>
          <w:numId w:val="16"/>
        </w:numPr>
        <w:rPr>
          <w:rFonts w:ascii="Arial" w:hAnsi="Arial" w:cs="Arial"/>
          <w:b/>
          <w:sz w:val="22"/>
          <w:szCs w:val="24"/>
        </w:rPr>
      </w:pPr>
      <w:r>
        <w:rPr>
          <w:rFonts w:ascii="Arial" w:hAnsi="Arial" w:cs="Arial"/>
          <w:b/>
          <w:sz w:val="22"/>
          <w:szCs w:val="24"/>
        </w:rPr>
        <w:t>Securities Transaction Report</w:t>
      </w:r>
    </w:p>
    <w:p w:rsidR="004E70F3">
      <w:pPr>
        <w:pStyle w:val="BodyText21"/>
        <w:ind w:left="360"/>
        <w:rPr>
          <w:rFonts w:ascii="Arial" w:hAnsi="Arial" w:cs="Arial"/>
          <w:b/>
          <w:sz w:val="22"/>
          <w:szCs w:val="24"/>
        </w:rPr>
      </w:pPr>
    </w:p>
    <w:p w:rsidR="000F358E" w:rsidRPr="00C11675">
      <w:pPr>
        <w:pStyle w:val="BodyText21"/>
        <w:jc w:val="center"/>
        <w:rPr>
          <w:rFonts w:ascii="Arial" w:hAnsi="Arial" w:cs="Arial"/>
          <w:b/>
          <w:sz w:val="22"/>
          <w:szCs w:val="24"/>
        </w:rPr>
      </w:pPr>
      <w:r w:rsidRPr="00C11675">
        <w:rPr>
          <w:rFonts w:ascii="Arial" w:hAnsi="Arial" w:cs="Arial"/>
          <w:sz w:val="22"/>
          <w:szCs w:val="24"/>
        </w:rPr>
        <w:br w:type="page"/>
      </w:r>
      <w:r w:rsidRPr="00C11675">
        <w:rPr>
          <w:rFonts w:ascii="Arial" w:hAnsi="Arial" w:cs="Arial"/>
          <w:b/>
          <w:sz w:val="22"/>
          <w:szCs w:val="24"/>
        </w:rPr>
        <w:t>Investment Activities Reporting Package</w:t>
      </w:r>
    </w:p>
    <w:p w:rsidR="000F358E" w:rsidRPr="00C11675">
      <w:pPr>
        <w:jc w:val="center"/>
        <w:rPr>
          <w:rFonts w:ascii="Arial" w:hAnsi="Arial" w:cs="Arial"/>
          <w:sz w:val="22"/>
          <w:szCs w:val="24"/>
          <w:u w:val="single"/>
        </w:rPr>
      </w:pPr>
    </w:p>
    <w:p w:rsidR="000F358E" w:rsidRPr="00C11675">
      <w:pPr>
        <w:jc w:val="center"/>
        <w:rPr>
          <w:rFonts w:ascii="Arial" w:hAnsi="Arial" w:cs="Arial"/>
          <w:sz w:val="22"/>
          <w:szCs w:val="24"/>
          <w:u w:val="single"/>
        </w:rPr>
      </w:pPr>
      <w:r w:rsidRPr="00C11675">
        <w:rPr>
          <w:rFonts w:ascii="Arial" w:hAnsi="Arial" w:cs="Arial"/>
          <w:sz w:val="22"/>
          <w:szCs w:val="24"/>
          <w:u w:val="single"/>
        </w:rPr>
        <w:t>Institutional Level Analysis</w:t>
      </w: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i/>
          <w:sz w:val="22"/>
          <w:szCs w:val="24"/>
        </w:rPr>
      </w:pPr>
      <w:r w:rsidRPr="00C11675">
        <w:rPr>
          <w:rFonts w:ascii="Arial" w:hAnsi="Arial" w:cs="Arial"/>
          <w:b/>
          <w:i/>
          <w:sz w:val="22"/>
          <w:szCs w:val="24"/>
        </w:rPr>
        <w:t>Insert</w:t>
      </w:r>
    </w:p>
    <w:p w:rsidR="000F358E" w:rsidRPr="00C11675">
      <w:pPr>
        <w:pStyle w:val="BodyText21"/>
        <w:jc w:val="center"/>
        <w:rPr>
          <w:rFonts w:ascii="Arial" w:hAnsi="Arial" w:cs="Arial"/>
          <w:b/>
          <w:i/>
          <w:sz w:val="22"/>
          <w:szCs w:val="24"/>
        </w:rPr>
      </w:pPr>
      <w:r w:rsidRPr="00C11675">
        <w:rPr>
          <w:rFonts w:ascii="Arial" w:hAnsi="Arial" w:cs="Arial"/>
          <w:b/>
          <w:i/>
          <w:sz w:val="22"/>
          <w:szCs w:val="24"/>
        </w:rPr>
        <w:t xml:space="preserve"> “Performance Profile - Page iii”</w:t>
      </w:r>
    </w:p>
    <w:p w:rsidR="000F358E" w:rsidRPr="00C11675">
      <w:pPr>
        <w:pStyle w:val="BodyText21"/>
        <w:jc w:val="center"/>
        <w:rPr>
          <w:rFonts w:ascii="Arial" w:hAnsi="Arial" w:cs="Arial"/>
          <w:b/>
          <w:sz w:val="22"/>
          <w:szCs w:val="24"/>
        </w:rPr>
      </w:pPr>
      <w:r w:rsidRPr="00C11675">
        <w:rPr>
          <w:rFonts w:ascii="Arial" w:hAnsi="Arial" w:cs="Arial"/>
          <w:b/>
          <w:i/>
          <w:sz w:val="22"/>
          <w:szCs w:val="24"/>
        </w:rPr>
        <w:t>Here</w:t>
      </w:r>
      <w:r w:rsidRPr="00C11675">
        <w:rPr>
          <w:rFonts w:ascii="Arial" w:hAnsi="Arial" w:cs="Arial"/>
          <w:b/>
          <w:i/>
          <w:sz w:val="22"/>
          <w:szCs w:val="24"/>
        </w:rPr>
        <w:br w:type="page"/>
      </w:r>
      <w:r w:rsidRPr="00C11675">
        <w:rPr>
          <w:rFonts w:ascii="Arial" w:hAnsi="Arial" w:cs="Arial"/>
          <w:b/>
          <w:sz w:val="22"/>
          <w:szCs w:val="24"/>
        </w:rPr>
        <w:t>Investment Activities Reporting Package</w:t>
      </w:r>
    </w:p>
    <w:p w:rsidR="000F358E" w:rsidRPr="00C11675">
      <w:pPr>
        <w:jc w:val="center"/>
        <w:rPr>
          <w:rFonts w:ascii="Arial" w:hAnsi="Arial" w:cs="Arial"/>
          <w:sz w:val="22"/>
          <w:szCs w:val="24"/>
          <w:u w:val="single"/>
        </w:rPr>
      </w:pPr>
    </w:p>
    <w:p w:rsidR="000F358E" w:rsidRPr="00C11675">
      <w:pPr>
        <w:jc w:val="center"/>
        <w:rPr>
          <w:rFonts w:ascii="Arial" w:hAnsi="Arial" w:cs="Arial"/>
          <w:sz w:val="22"/>
          <w:szCs w:val="24"/>
          <w:u w:val="single"/>
        </w:rPr>
      </w:pPr>
      <w:r w:rsidRPr="00C11675">
        <w:rPr>
          <w:rFonts w:ascii="Arial" w:hAnsi="Arial" w:cs="Arial"/>
          <w:sz w:val="22"/>
          <w:szCs w:val="24"/>
          <w:u w:val="single"/>
        </w:rPr>
        <w:t>Summary of Portfolio Holdings</w:t>
      </w: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sz w:val="22"/>
          <w:szCs w:val="24"/>
        </w:rPr>
      </w:pPr>
    </w:p>
    <w:p w:rsidR="000F358E" w:rsidRPr="00C11675">
      <w:pPr>
        <w:pStyle w:val="BodyText21"/>
        <w:jc w:val="center"/>
        <w:rPr>
          <w:rFonts w:ascii="Arial" w:hAnsi="Arial" w:cs="Arial"/>
          <w:b/>
          <w:i/>
          <w:sz w:val="22"/>
          <w:szCs w:val="24"/>
        </w:rPr>
      </w:pPr>
      <w:r w:rsidRPr="00C11675">
        <w:rPr>
          <w:rFonts w:ascii="Arial" w:hAnsi="Arial" w:cs="Arial"/>
          <w:b/>
          <w:i/>
          <w:sz w:val="22"/>
          <w:szCs w:val="24"/>
        </w:rPr>
        <w:t>Insert</w:t>
      </w:r>
    </w:p>
    <w:p w:rsidR="000F358E" w:rsidRPr="00C11675">
      <w:pPr>
        <w:pStyle w:val="BodyText21"/>
        <w:jc w:val="center"/>
        <w:rPr>
          <w:rFonts w:ascii="Arial" w:hAnsi="Arial" w:cs="Arial"/>
          <w:b/>
          <w:i/>
          <w:sz w:val="22"/>
          <w:szCs w:val="24"/>
        </w:rPr>
      </w:pPr>
      <w:r w:rsidRPr="00C11675">
        <w:rPr>
          <w:rFonts w:ascii="Arial" w:hAnsi="Arial" w:cs="Arial"/>
          <w:b/>
          <w:i/>
          <w:sz w:val="22"/>
          <w:szCs w:val="24"/>
        </w:rPr>
        <w:t xml:space="preserve"> “Portfolio Value-at-Risk Report”</w:t>
      </w:r>
    </w:p>
    <w:p w:rsidR="000F358E" w:rsidRPr="00C11675">
      <w:pPr>
        <w:pStyle w:val="BodyText21"/>
        <w:jc w:val="center"/>
        <w:rPr>
          <w:rFonts w:ascii="Arial" w:hAnsi="Arial" w:cs="Arial"/>
          <w:sz w:val="22"/>
          <w:szCs w:val="24"/>
        </w:rPr>
      </w:pPr>
      <w:r w:rsidRPr="00C11675">
        <w:rPr>
          <w:rFonts w:ascii="Arial" w:hAnsi="Arial" w:cs="Arial"/>
          <w:b/>
          <w:i/>
          <w:sz w:val="22"/>
          <w:szCs w:val="24"/>
        </w:rPr>
        <w:t>Here</w:t>
      </w:r>
      <w:r w:rsidRPr="00C11675">
        <w:rPr>
          <w:rFonts w:ascii="Arial" w:hAnsi="Arial" w:cs="Arial"/>
          <w:b/>
          <w:i/>
          <w:sz w:val="22"/>
          <w:szCs w:val="24"/>
        </w:rPr>
        <w:br w:type="page"/>
      </w:r>
      <w:r w:rsidRPr="00C11675">
        <w:rPr>
          <w:rFonts w:ascii="Arial" w:hAnsi="Arial" w:cs="Arial"/>
          <w:b/>
          <w:sz w:val="22"/>
          <w:szCs w:val="24"/>
        </w:rPr>
        <w:t>Investment Activities Reporting Package</w:t>
      </w:r>
      <w:r w:rsidRPr="00C11675">
        <w:rPr>
          <w:rFonts w:ascii="Arial" w:hAnsi="Arial" w:cs="Arial"/>
          <w:sz w:val="22"/>
          <w:szCs w:val="24"/>
        </w:rPr>
        <w:t xml:space="preserve"> </w:t>
      </w:r>
    </w:p>
    <w:p w:rsidR="000F358E" w:rsidRPr="00C11675">
      <w:pPr>
        <w:jc w:val="center"/>
        <w:rPr>
          <w:rFonts w:ascii="Arial" w:hAnsi="Arial" w:cs="Arial"/>
          <w:sz w:val="22"/>
          <w:szCs w:val="24"/>
          <w:u w:val="single"/>
        </w:rPr>
      </w:pPr>
    </w:p>
    <w:p w:rsidR="000F358E" w:rsidRPr="00C11675">
      <w:pPr>
        <w:jc w:val="center"/>
        <w:rPr>
          <w:rFonts w:ascii="Arial" w:hAnsi="Arial" w:cs="Arial"/>
          <w:sz w:val="22"/>
          <w:szCs w:val="24"/>
        </w:rPr>
      </w:pPr>
      <w:r w:rsidRPr="00C11675">
        <w:rPr>
          <w:rFonts w:ascii="Arial" w:hAnsi="Arial" w:cs="Arial"/>
          <w:sz w:val="22"/>
          <w:szCs w:val="24"/>
          <w:u w:val="single"/>
        </w:rPr>
        <w:t>Activities Since Last Report</w:t>
      </w:r>
    </w:p>
    <w:p w:rsidR="000F358E" w:rsidRPr="00C11675">
      <w:pPr>
        <w:rPr>
          <w:rFonts w:ascii="Arial" w:hAnsi="Arial" w:cs="Arial"/>
          <w:sz w:val="22"/>
          <w:szCs w:val="24"/>
        </w:rPr>
      </w:pPr>
      <w:r w:rsidRPr="00C11675">
        <w:rPr>
          <w:rFonts w:ascii="Arial" w:hAnsi="Arial" w:cs="Arial"/>
          <w:sz w:val="22"/>
          <w:szCs w:val="24"/>
        </w:rPr>
        <w:t xml:space="preserve"> </w:t>
      </w:r>
    </w:p>
    <w:p w:rsidR="000F358E" w:rsidRPr="00C11675">
      <w:pPr>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u w:val="single"/>
        </w:rPr>
        <w:t>Securities Sold</w:t>
      </w:r>
    </w:p>
    <w:p w:rsidR="000F358E" w:rsidRPr="00C11675">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r>
      <w:r w:rsidRPr="00C11675">
        <w:rPr>
          <w:rFonts w:ascii="Arial" w:hAnsi="Arial" w:cs="Arial"/>
          <w:sz w:val="22"/>
          <w:szCs w:val="24"/>
        </w:rPr>
        <w:tab/>
        <w:t xml:space="preserve">Book </w:t>
      </w:r>
      <w:r w:rsidRPr="00C11675">
        <w:rPr>
          <w:rFonts w:ascii="Arial" w:hAnsi="Arial" w:cs="Arial"/>
          <w:sz w:val="22"/>
          <w:szCs w:val="24"/>
        </w:rPr>
        <w:tab/>
        <w:t>Sale</w:t>
      </w:r>
      <w:r w:rsidRPr="00C11675">
        <w:rPr>
          <w:rFonts w:ascii="Arial" w:hAnsi="Arial" w:cs="Arial"/>
          <w:sz w:val="22"/>
          <w:szCs w:val="24"/>
        </w:rPr>
        <w:tab/>
        <w:t>Gain/</w:t>
      </w:r>
    </w:p>
    <w:p w:rsidR="000F358E" w:rsidRPr="00C11675">
      <w:pPr>
        <w:tabs>
          <w:tab w:val="left" w:pos="1440"/>
          <w:tab w:val="left" w:pos="2880"/>
          <w:tab w:val="left" w:pos="4320"/>
          <w:tab w:val="left" w:pos="5760"/>
          <w:tab w:val="left" w:pos="7200"/>
        </w:tabs>
        <w:ind w:firstLine="1440"/>
        <w:rPr>
          <w:rFonts w:ascii="Arial" w:hAnsi="Arial" w:cs="Arial"/>
          <w:sz w:val="22"/>
          <w:szCs w:val="24"/>
        </w:rPr>
      </w:pPr>
      <w:r w:rsidRPr="00C11675">
        <w:rPr>
          <w:rFonts w:ascii="Arial" w:hAnsi="Arial" w:cs="Arial"/>
          <w:sz w:val="22"/>
          <w:szCs w:val="24"/>
          <w:u w:val="single"/>
        </w:rPr>
        <w:t>Item</w:t>
      </w:r>
      <w:r w:rsidRPr="00C11675">
        <w:rPr>
          <w:rFonts w:ascii="Arial" w:hAnsi="Arial" w:cs="Arial"/>
          <w:sz w:val="22"/>
          <w:szCs w:val="24"/>
        </w:rPr>
        <w:tab/>
      </w:r>
      <w:r w:rsidRPr="00C11675">
        <w:rPr>
          <w:rFonts w:ascii="Arial" w:hAnsi="Arial" w:cs="Arial"/>
          <w:sz w:val="22"/>
          <w:szCs w:val="24"/>
          <w:u w:val="single"/>
        </w:rPr>
        <w:t>Value</w:t>
      </w:r>
      <w:r w:rsidRPr="00C11675">
        <w:rPr>
          <w:rFonts w:ascii="Arial" w:hAnsi="Arial" w:cs="Arial"/>
          <w:sz w:val="22"/>
          <w:szCs w:val="24"/>
        </w:rPr>
        <w:tab/>
      </w:r>
      <w:r w:rsidRPr="00C11675">
        <w:rPr>
          <w:rFonts w:ascii="Arial" w:hAnsi="Arial" w:cs="Arial"/>
          <w:sz w:val="22"/>
          <w:szCs w:val="24"/>
          <w:u w:val="single"/>
        </w:rPr>
        <w:t>Price</w:t>
      </w:r>
      <w:r w:rsidRPr="00C11675">
        <w:rPr>
          <w:rFonts w:ascii="Arial" w:hAnsi="Arial" w:cs="Arial"/>
          <w:sz w:val="22"/>
          <w:szCs w:val="24"/>
        </w:rPr>
        <w:tab/>
      </w:r>
      <w:r w:rsidRPr="00C11675">
        <w:rPr>
          <w:rFonts w:ascii="Arial" w:hAnsi="Arial" w:cs="Arial"/>
          <w:sz w:val="22"/>
          <w:szCs w:val="24"/>
          <w:u w:val="single"/>
        </w:rPr>
        <w:t>Loss</w:t>
      </w:r>
      <w:r w:rsidRPr="00C11675">
        <w:rPr>
          <w:rFonts w:ascii="Arial" w:hAnsi="Arial" w:cs="Arial"/>
          <w:sz w:val="22"/>
          <w:szCs w:val="24"/>
        </w:rPr>
        <w:tab/>
      </w:r>
      <w:r w:rsidRPr="00C11675">
        <w:rPr>
          <w:rFonts w:ascii="Arial" w:hAnsi="Arial" w:cs="Arial"/>
          <w:sz w:val="22"/>
          <w:szCs w:val="24"/>
        </w:rPr>
        <w:tab/>
      </w: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u w:val="single"/>
        </w:rPr>
        <w:t>Securities Purchased</w:t>
      </w:r>
    </w:p>
    <w:p w:rsidR="000F358E" w:rsidRPr="00C11675">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r>
      <w:r w:rsidRPr="00C11675">
        <w:rPr>
          <w:rFonts w:ascii="Arial" w:hAnsi="Arial" w:cs="Arial"/>
          <w:sz w:val="22"/>
          <w:szCs w:val="24"/>
        </w:rPr>
        <w:tab/>
      </w:r>
      <w:r w:rsidRPr="00C11675">
        <w:rPr>
          <w:rFonts w:ascii="Arial" w:hAnsi="Arial" w:cs="Arial"/>
          <w:sz w:val="22"/>
          <w:szCs w:val="24"/>
        </w:rPr>
        <w:tab/>
      </w:r>
      <w:r w:rsidRPr="00C11675">
        <w:rPr>
          <w:rFonts w:ascii="Arial" w:hAnsi="Arial" w:cs="Arial"/>
          <w:sz w:val="22"/>
          <w:szCs w:val="24"/>
        </w:rPr>
        <w:tab/>
        <w:t>Market</w:t>
      </w:r>
    </w:p>
    <w:p w:rsidR="000F358E" w:rsidRPr="00C11675">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r>
      <w:r w:rsidRPr="00C11675">
        <w:rPr>
          <w:rFonts w:ascii="Arial" w:hAnsi="Arial" w:cs="Arial"/>
          <w:sz w:val="22"/>
          <w:szCs w:val="24"/>
        </w:rPr>
        <w:tab/>
      </w:r>
      <w:r w:rsidRPr="00C11675">
        <w:rPr>
          <w:rFonts w:ascii="Arial" w:hAnsi="Arial" w:cs="Arial"/>
          <w:sz w:val="22"/>
          <w:szCs w:val="24"/>
        </w:rPr>
        <w:tab/>
        <w:t>Total</w:t>
      </w:r>
      <w:r w:rsidRPr="00C11675">
        <w:rPr>
          <w:rFonts w:ascii="Arial" w:hAnsi="Arial" w:cs="Arial"/>
          <w:sz w:val="22"/>
          <w:szCs w:val="24"/>
        </w:rPr>
        <w:tab/>
        <w:t>Value</w:t>
      </w:r>
      <w:r w:rsidRPr="00C11675">
        <w:rPr>
          <w:rFonts w:ascii="Arial" w:hAnsi="Arial" w:cs="Arial"/>
          <w:sz w:val="22"/>
          <w:szCs w:val="24"/>
        </w:rPr>
        <w:tab/>
      </w:r>
      <w:r w:rsidRPr="00C11675">
        <w:rPr>
          <w:rFonts w:ascii="Arial" w:hAnsi="Arial" w:cs="Arial"/>
          <w:sz w:val="22"/>
          <w:szCs w:val="24"/>
        </w:rPr>
        <w:tab/>
        <w:t xml:space="preserve">Purchase </w:t>
      </w:r>
      <w:r w:rsidRPr="00C11675">
        <w:rPr>
          <w:rFonts w:ascii="Arial" w:hAnsi="Arial" w:cs="Arial"/>
          <w:sz w:val="22"/>
          <w:szCs w:val="24"/>
        </w:rPr>
        <w:tab/>
        <w:t>Purchased</w:t>
      </w:r>
      <w:r w:rsidRPr="00C11675">
        <w:rPr>
          <w:rFonts w:ascii="Arial" w:hAnsi="Arial" w:cs="Arial"/>
          <w:sz w:val="22"/>
          <w:szCs w:val="24"/>
        </w:rPr>
        <w:tab/>
        <w:t>Change</w:t>
      </w:r>
      <w:r w:rsidRPr="00C11675">
        <w:rPr>
          <w:rFonts w:ascii="Arial" w:hAnsi="Arial" w:cs="Arial"/>
          <w:sz w:val="22"/>
          <w:szCs w:val="24"/>
        </w:rPr>
        <w:tab/>
        <w:t>Change</w:t>
      </w:r>
    </w:p>
    <w:p w:rsidR="000F358E" w:rsidRPr="00C11675">
      <w:pPr>
        <w:tabs>
          <w:tab w:val="left" w:pos="1440"/>
          <w:tab w:val="left" w:pos="2880"/>
          <w:tab w:val="left" w:pos="4320"/>
          <w:tab w:val="left" w:pos="5760"/>
          <w:tab w:val="left" w:pos="7200"/>
        </w:tabs>
        <w:ind w:firstLine="1440"/>
        <w:rPr>
          <w:rFonts w:ascii="Arial" w:hAnsi="Arial" w:cs="Arial"/>
          <w:sz w:val="22"/>
          <w:szCs w:val="24"/>
        </w:rPr>
      </w:pPr>
      <w:r w:rsidRPr="00C11675">
        <w:rPr>
          <w:rFonts w:ascii="Arial" w:hAnsi="Arial" w:cs="Arial"/>
          <w:sz w:val="22"/>
          <w:szCs w:val="24"/>
          <w:u w:val="single"/>
        </w:rPr>
        <w:t>Item</w:t>
      </w:r>
      <w:r w:rsidRPr="00C11675">
        <w:rPr>
          <w:rFonts w:ascii="Arial" w:hAnsi="Arial" w:cs="Arial"/>
          <w:sz w:val="22"/>
          <w:szCs w:val="24"/>
        </w:rPr>
        <w:tab/>
      </w:r>
      <w:r w:rsidRPr="00C11675">
        <w:rPr>
          <w:rFonts w:ascii="Arial" w:hAnsi="Arial" w:cs="Arial"/>
          <w:sz w:val="22"/>
          <w:szCs w:val="24"/>
          <w:u w:val="single"/>
        </w:rPr>
        <w:t>Price</w:t>
      </w:r>
      <w:r w:rsidRPr="00C11675">
        <w:rPr>
          <w:rFonts w:ascii="Arial" w:hAnsi="Arial" w:cs="Arial"/>
          <w:sz w:val="22"/>
          <w:szCs w:val="24"/>
        </w:rPr>
        <w:tab/>
      </w:r>
      <w:r w:rsidRPr="00C11675">
        <w:rPr>
          <w:rFonts w:ascii="Arial" w:hAnsi="Arial" w:cs="Arial"/>
          <w:sz w:val="22"/>
          <w:szCs w:val="24"/>
          <w:u w:val="single"/>
        </w:rPr>
        <w:t>($000's)</w:t>
      </w:r>
      <w:r w:rsidRPr="00C11675">
        <w:rPr>
          <w:rFonts w:ascii="Arial" w:hAnsi="Arial" w:cs="Arial"/>
          <w:sz w:val="22"/>
          <w:szCs w:val="24"/>
        </w:rPr>
        <w:tab/>
      </w:r>
      <w:r w:rsidRPr="00C11675">
        <w:rPr>
          <w:rFonts w:ascii="Arial" w:hAnsi="Arial" w:cs="Arial"/>
          <w:sz w:val="22"/>
          <w:szCs w:val="24"/>
          <w:u w:val="single"/>
        </w:rPr>
        <w:t>(+300bp)</w:t>
      </w: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p>
    <w:p w:rsidR="000F358E" w:rsidRPr="00C11675">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u w:val="single"/>
        </w:rPr>
        <w:t>Current Securities on Watch List</w:t>
      </w:r>
    </w:p>
    <w:p w:rsidR="000F358E" w:rsidRPr="00C11675">
      <w:pPr>
        <w:tabs>
          <w:tab w:val="left" w:pos="1440"/>
          <w:tab w:val="left" w:pos="2880"/>
          <w:tab w:val="left" w:pos="4320"/>
          <w:tab w:val="left" w:pos="5760"/>
          <w:tab w:val="left" w:pos="7200"/>
        </w:tabs>
        <w:ind w:firstLine="720"/>
        <w:rPr>
          <w:rFonts w:ascii="Arial" w:hAnsi="Arial" w:cs="Arial"/>
          <w:sz w:val="22"/>
          <w:szCs w:val="24"/>
        </w:rPr>
      </w:pPr>
    </w:p>
    <w:p w:rsidR="000F358E" w:rsidRPr="00C11675">
      <w:pPr>
        <w:tabs>
          <w:tab w:val="left" w:pos="1440"/>
          <w:tab w:val="left" w:pos="2880"/>
          <w:tab w:val="left" w:pos="4320"/>
          <w:tab w:val="left" w:pos="5760"/>
          <w:tab w:val="left" w:pos="7200"/>
        </w:tabs>
        <w:ind w:firstLine="4320"/>
        <w:rPr>
          <w:rFonts w:ascii="Arial" w:hAnsi="Arial" w:cs="Arial"/>
          <w:sz w:val="22"/>
          <w:szCs w:val="24"/>
        </w:rPr>
      </w:pPr>
      <w:r w:rsidRPr="00C11675">
        <w:rPr>
          <w:rFonts w:ascii="Arial" w:hAnsi="Arial" w:cs="Arial"/>
          <w:sz w:val="22"/>
          <w:szCs w:val="24"/>
        </w:rPr>
        <w:t>Market</w:t>
      </w:r>
      <w:r w:rsidRPr="00C11675">
        <w:rPr>
          <w:rFonts w:ascii="Arial" w:hAnsi="Arial" w:cs="Arial"/>
          <w:sz w:val="22"/>
          <w:szCs w:val="24"/>
        </w:rPr>
        <w:tab/>
      </w:r>
    </w:p>
    <w:p w:rsidR="000F358E" w:rsidRPr="00C11675">
      <w:pPr>
        <w:tabs>
          <w:tab w:val="left" w:pos="1440"/>
          <w:tab w:val="left" w:pos="2880"/>
          <w:tab w:val="left" w:pos="4320"/>
          <w:tab w:val="left" w:pos="5760"/>
          <w:tab w:val="left" w:pos="7200"/>
        </w:tabs>
        <w:ind w:firstLine="4320"/>
        <w:rPr>
          <w:rFonts w:ascii="Arial" w:hAnsi="Arial" w:cs="Arial"/>
          <w:sz w:val="22"/>
          <w:szCs w:val="24"/>
        </w:rPr>
      </w:pPr>
      <w:r w:rsidRPr="00C11675">
        <w:rPr>
          <w:rFonts w:ascii="Arial" w:hAnsi="Arial" w:cs="Arial"/>
          <w:sz w:val="22"/>
          <w:szCs w:val="24"/>
        </w:rPr>
        <w:t>Value</w:t>
      </w:r>
      <w:r w:rsidRPr="00C11675">
        <w:rPr>
          <w:rFonts w:ascii="Arial" w:hAnsi="Arial" w:cs="Arial"/>
          <w:sz w:val="22"/>
          <w:szCs w:val="24"/>
        </w:rPr>
        <w:tab/>
      </w:r>
    </w:p>
    <w:p w:rsidR="000F358E" w:rsidRPr="00C11675">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t>Book</w:t>
      </w:r>
      <w:r w:rsidRPr="00C11675">
        <w:rPr>
          <w:rFonts w:ascii="Arial" w:hAnsi="Arial" w:cs="Arial"/>
          <w:sz w:val="22"/>
          <w:szCs w:val="24"/>
        </w:rPr>
        <w:tab/>
        <w:t>Market</w:t>
      </w:r>
      <w:r w:rsidRPr="00C11675">
        <w:rPr>
          <w:rFonts w:ascii="Arial" w:hAnsi="Arial" w:cs="Arial"/>
          <w:sz w:val="22"/>
          <w:szCs w:val="24"/>
        </w:rPr>
        <w:tab/>
        <w:t>Change</w:t>
      </w:r>
      <w:r w:rsidRPr="00C11675">
        <w:rPr>
          <w:rFonts w:ascii="Arial" w:hAnsi="Arial" w:cs="Arial"/>
          <w:sz w:val="22"/>
          <w:szCs w:val="24"/>
        </w:rPr>
        <w:tab/>
      </w:r>
      <w:r w:rsidRPr="00C11675">
        <w:rPr>
          <w:rFonts w:ascii="Arial" w:hAnsi="Arial" w:cs="Arial"/>
          <w:sz w:val="22"/>
          <w:szCs w:val="24"/>
        </w:rPr>
        <w:tab/>
        <w:t>Reason for</w:t>
      </w:r>
      <w:r w:rsidRPr="00C11675">
        <w:rPr>
          <w:rFonts w:ascii="Arial" w:hAnsi="Arial" w:cs="Arial"/>
          <w:sz w:val="22"/>
          <w:szCs w:val="24"/>
        </w:rPr>
        <w:tab/>
      </w:r>
    </w:p>
    <w:p w:rsidR="000F358E" w:rsidRPr="00C11675">
      <w:pPr>
        <w:tabs>
          <w:tab w:val="left" w:pos="1440"/>
          <w:tab w:val="left" w:pos="2880"/>
          <w:tab w:val="left" w:pos="4320"/>
          <w:tab w:val="left" w:pos="5760"/>
          <w:tab w:val="left" w:pos="7200"/>
        </w:tabs>
        <w:rPr>
          <w:rFonts w:ascii="Arial" w:hAnsi="Arial" w:cs="Arial"/>
          <w:sz w:val="22"/>
          <w:szCs w:val="24"/>
          <w:u w:val="single"/>
        </w:rPr>
      </w:pPr>
      <w:r w:rsidRPr="00C11675">
        <w:rPr>
          <w:rFonts w:ascii="Arial" w:hAnsi="Arial" w:cs="Arial"/>
          <w:sz w:val="22"/>
          <w:szCs w:val="24"/>
          <w:u w:val="single"/>
        </w:rPr>
        <w:t>Item</w:t>
      </w:r>
      <w:r w:rsidRPr="00C11675">
        <w:rPr>
          <w:rFonts w:ascii="Arial" w:hAnsi="Arial" w:cs="Arial"/>
          <w:sz w:val="22"/>
          <w:szCs w:val="24"/>
        </w:rPr>
        <w:tab/>
      </w:r>
      <w:r w:rsidRPr="00C11675">
        <w:rPr>
          <w:rFonts w:ascii="Arial" w:hAnsi="Arial" w:cs="Arial"/>
          <w:sz w:val="22"/>
          <w:szCs w:val="24"/>
          <w:u w:val="single"/>
        </w:rPr>
        <w:t>Value</w:t>
      </w:r>
      <w:r w:rsidRPr="00C11675">
        <w:rPr>
          <w:rFonts w:ascii="Arial" w:hAnsi="Arial" w:cs="Arial"/>
          <w:sz w:val="22"/>
          <w:szCs w:val="24"/>
        </w:rPr>
        <w:tab/>
      </w:r>
      <w:r w:rsidRPr="00C11675">
        <w:rPr>
          <w:rFonts w:ascii="Arial" w:hAnsi="Arial" w:cs="Arial"/>
          <w:sz w:val="22"/>
          <w:szCs w:val="24"/>
          <w:u w:val="single"/>
        </w:rPr>
        <w:t>Value</w:t>
      </w:r>
      <w:r w:rsidRPr="00C11675">
        <w:rPr>
          <w:rFonts w:ascii="Arial" w:hAnsi="Arial" w:cs="Arial"/>
          <w:sz w:val="22"/>
          <w:szCs w:val="24"/>
        </w:rPr>
        <w:tab/>
      </w:r>
      <w:r w:rsidRPr="00C11675">
        <w:rPr>
          <w:rFonts w:ascii="Arial" w:hAnsi="Arial" w:cs="Arial"/>
          <w:sz w:val="22"/>
          <w:szCs w:val="24"/>
          <w:u w:val="single"/>
        </w:rPr>
        <w:t>(+300bp)</w:t>
      </w:r>
      <w:r w:rsidRPr="00C11675">
        <w:rPr>
          <w:rFonts w:ascii="Arial" w:hAnsi="Arial" w:cs="Arial"/>
          <w:sz w:val="22"/>
          <w:szCs w:val="24"/>
        </w:rPr>
        <w:tab/>
      </w:r>
      <w:r w:rsidRPr="00C11675">
        <w:rPr>
          <w:rFonts w:ascii="Arial" w:hAnsi="Arial" w:cs="Arial"/>
          <w:sz w:val="22"/>
          <w:szCs w:val="24"/>
          <w:u w:val="single"/>
        </w:rPr>
        <w:t>Rating</w:t>
      </w:r>
      <w:r w:rsidRPr="00C11675">
        <w:rPr>
          <w:rFonts w:ascii="Arial" w:hAnsi="Arial" w:cs="Arial"/>
          <w:sz w:val="22"/>
          <w:szCs w:val="24"/>
        </w:rPr>
        <w:tab/>
      </w:r>
      <w:r w:rsidRPr="00C11675">
        <w:rPr>
          <w:rFonts w:ascii="Arial" w:hAnsi="Arial" w:cs="Arial"/>
          <w:sz w:val="22"/>
          <w:szCs w:val="24"/>
          <w:u w:val="single"/>
        </w:rPr>
        <w:t>Board Attention</w:t>
      </w:r>
    </w:p>
    <w:p w:rsidR="000F358E" w:rsidRPr="00C11675">
      <w:pPr>
        <w:rPr>
          <w:rFonts w:ascii="Arial" w:hAnsi="Arial" w:cs="Arial"/>
          <w:sz w:val="22"/>
          <w:szCs w:val="24"/>
        </w:rPr>
      </w:pPr>
    </w:p>
    <w:p w:rsidR="000F358E" w:rsidRPr="00C11675">
      <w:pPr>
        <w:rPr>
          <w:rFonts w:ascii="Arial" w:hAnsi="Arial" w:cs="Arial"/>
          <w:sz w:val="22"/>
          <w:szCs w:val="24"/>
        </w:rPr>
      </w:pPr>
    </w:p>
    <w:p w:rsidR="000F358E" w:rsidRPr="00C11675">
      <w:pPr>
        <w:rPr>
          <w:rFonts w:ascii="Arial" w:hAnsi="Arial" w:cs="Arial"/>
          <w:sz w:val="22"/>
          <w:szCs w:val="24"/>
        </w:rPr>
      </w:pPr>
    </w:p>
    <w:p w:rsidR="000F358E" w:rsidRPr="00C11675">
      <w:pPr>
        <w:rPr>
          <w:rFonts w:ascii="Arial" w:hAnsi="Arial" w:cs="Arial"/>
          <w:sz w:val="22"/>
          <w:szCs w:val="24"/>
        </w:rPr>
      </w:pPr>
    </w:p>
    <w:p w:rsidR="000F358E" w:rsidRPr="00C11675">
      <w:pPr>
        <w:rPr>
          <w:rFonts w:ascii="Arial" w:hAnsi="Arial" w:cs="Arial"/>
          <w:sz w:val="22"/>
          <w:szCs w:val="24"/>
        </w:rPr>
      </w:pPr>
    </w:p>
    <w:p w:rsidR="000F358E" w:rsidRPr="00C11675">
      <w:pPr>
        <w:rPr>
          <w:rFonts w:ascii="Arial" w:hAnsi="Arial" w:cs="Arial"/>
          <w:sz w:val="22"/>
          <w:szCs w:val="24"/>
        </w:rPr>
      </w:pPr>
    </w:p>
    <w:p w:rsidR="000F358E" w:rsidRPr="00C11675">
      <w:pPr>
        <w:rPr>
          <w:rFonts w:ascii="Arial" w:hAnsi="Arial" w:cs="Arial"/>
          <w:sz w:val="22"/>
          <w:szCs w:val="24"/>
        </w:rPr>
      </w:pPr>
    </w:p>
    <w:p w:rsidR="000F358E" w:rsidRPr="00C11675">
      <w:pPr>
        <w:pStyle w:val="Heading2"/>
        <w:rPr>
          <w:rFonts w:ascii="Arial" w:hAnsi="Arial" w:cs="Arial"/>
          <w:sz w:val="22"/>
          <w:szCs w:val="24"/>
        </w:rPr>
      </w:pPr>
      <w:r w:rsidRPr="00C11675">
        <w:rPr>
          <w:rFonts w:ascii="Arial" w:hAnsi="Arial" w:cs="Arial"/>
          <w:sz w:val="22"/>
          <w:szCs w:val="24"/>
        </w:rPr>
        <w:t>Other Guideline Exceptions</w:t>
      </w:r>
    </w:p>
    <w:p w:rsidR="000F358E" w:rsidRPr="00C11675">
      <w:pPr>
        <w:rPr>
          <w:rFonts w:ascii="Arial" w:hAnsi="Arial" w:cs="Arial"/>
          <w:sz w:val="22"/>
          <w:szCs w:val="24"/>
        </w:rPr>
      </w:pPr>
    </w:p>
    <w:p w:rsidR="000F358E" w:rsidRPr="00C11675">
      <w:pPr>
        <w:rPr>
          <w:rFonts w:ascii="Arial" w:hAnsi="Arial" w:cs="Arial"/>
          <w:sz w:val="22"/>
          <w:szCs w:val="24"/>
        </w:rPr>
      </w:pPr>
      <w:r w:rsidRPr="00C11675">
        <w:rPr>
          <w:rFonts w:ascii="Arial" w:hAnsi="Arial" w:cs="Arial"/>
          <w:sz w:val="22"/>
          <w:szCs w:val="24"/>
        </w:rPr>
        <w:t>Describe exceptions</w:t>
      </w:r>
    </w:p>
    <w:p w:rsidR="000F358E" w:rsidRPr="00C11675">
      <w:pPr>
        <w:pStyle w:val="Header"/>
        <w:tabs>
          <w:tab w:val="clear" w:pos="4320"/>
          <w:tab w:val="clear" w:pos="8640"/>
        </w:tabs>
        <w:rPr>
          <w:rFonts w:ascii="Arial" w:hAnsi="Arial" w:cs="Arial"/>
          <w:sz w:val="22"/>
          <w:szCs w:val="24"/>
        </w:rPr>
      </w:pPr>
    </w:p>
    <w:sectPr w:rsidSect="00491831">
      <w:headerReference w:type="even" r:id="rId9"/>
      <w:headerReference w:type="default" r:id="rId10"/>
      <w:footerReference w:type="even" r:id="rId11"/>
      <w:footerReference w:type="default" r:id="rId12"/>
      <w:headerReference w:type="first" r:id="rId13"/>
      <w:footerReference w:type="first" r:id="rId14"/>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604" w:rsidRPr="00BE0B80">
    <w:pPr>
      <w:pStyle w:val="Footer"/>
      <w:rPr>
        <w:rFonts w:ascii="Arial" w:hAnsi="Arial" w:cs="Arial"/>
      </w:rPr>
    </w:pPr>
    <w:r w:rsidRPr="00BE0B80">
      <w:rPr>
        <w:rStyle w:val="PageNumber"/>
        <w:rFonts w:ascii="Arial" w:hAnsi="Arial" w:cs="Arial"/>
      </w:rPr>
      <w:t xml:space="preserve">Last edited </w:t>
    </w:r>
    <w:r>
      <w:rPr>
        <w:rStyle w:val="PageNumber"/>
        <w:rFonts w:ascii="Arial" w:hAnsi="Arial" w:cs="Arial"/>
      </w:rPr>
      <w:t>November 2012</w:t>
    </w:r>
    <w:r w:rsidRPr="00BE0B80">
      <w:rPr>
        <w:rStyle w:val="PageNumber"/>
        <w:rFonts w:ascii="Arial" w:hAnsi="Arial" w:cs="Arial"/>
      </w:rPr>
      <w:tab/>
    </w:r>
    <w:r w:rsidR="005B5873">
      <w:rPr>
        <w:rStyle w:val="PageNumber"/>
        <w:rFonts w:ascii="Arial" w:hAnsi="Arial" w:cs="Arial"/>
        <w:sz w:val="28"/>
      </w:rPr>
      <w:t xml:space="preserve"> </w:t>
    </w:r>
    <w:bookmarkStart w:id="1" w:name="_GoBack"/>
    <w:bookmarkEnd w:id="1"/>
    <w:r w:rsidRPr="00BE0B80">
      <w:rPr>
        <w:rStyle w:val="PageNumber"/>
        <w:rFonts w:ascii="Arial" w:hAnsi="Arial" w:cs="Arial"/>
      </w:rPr>
      <w:tab/>
      <w:t xml:space="preserve">Page </w:t>
    </w:r>
    <w:r w:rsidRPr="00BE0B80" w:rsidR="00240B43">
      <w:rPr>
        <w:rStyle w:val="PageNumber"/>
        <w:rFonts w:ascii="Arial" w:hAnsi="Arial" w:cs="Arial"/>
      </w:rPr>
      <w:fldChar w:fldCharType="begin"/>
    </w:r>
    <w:r w:rsidRPr="00BE0B80">
      <w:rPr>
        <w:rStyle w:val="PageNumber"/>
        <w:rFonts w:ascii="Arial" w:hAnsi="Arial" w:cs="Arial"/>
      </w:rPr>
      <w:instrText xml:space="preserve"> PAGE </w:instrText>
    </w:r>
    <w:r w:rsidRPr="00BE0B80" w:rsidR="00240B43">
      <w:rPr>
        <w:rStyle w:val="PageNumber"/>
        <w:rFonts w:ascii="Arial" w:hAnsi="Arial" w:cs="Arial"/>
      </w:rPr>
      <w:fldChar w:fldCharType="separate"/>
    </w:r>
    <w:r w:rsidR="005B5873">
      <w:rPr>
        <w:rStyle w:val="PageNumber"/>
        <w:rFonts w:ascii="Arial" w:hAnsi="Arial" w:cs="Arial"/>
        <w:noProof/>
      </w:rPr>
      <w:t>1</w:t>
    </w:r>
    <w:r w:rsidRPr="00BE0B80" w:rsidR="00240B43">
      <w:rPr>
        <w:rStyle w:val="PageNumber"/>
        <w:rFonts w:ascii="Arial" w:hAnsi="Arial" w:cs="Arial"/>
      </w:rPr>
      <w:fldChar w:fldCharType="end"/>
    </w:r>
    <w:r w:rsidRPr="00BE0B80">
      <w:rPr>
        <w:rStyle w:val="PageNumbe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87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1F90133F"/>
    <w:multiLevelType w:val="hybridMultilevel"/>
    <w:tmpl w:val="146CD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E33228"/>
    <w:multiLevelType w:val="singleLevel"/>
    <w:tmpl w:val="0409000F"/>
    <w:lvl w:ilvl="0">
      <w:start w:val="1"/>
      <w:numFmt w:val="decimal"/>
      <w:lvlText w:val="%1."/>
      <w:legacy w:legacy="1" w:legacySpace="0" w:legacyIndent="360"/>
      <w:lvlJc w:val="left"/>
      <w:pPr>
        <w:ind w:left="360" w:hanging="360"/>
      </w:pPr>
    </w:lvl>
  </w:abstractNum>
  <w:abstractNum w:abstractNumId="3">
    <w:nsid w:val="25F026A7"/>
    <w:multiLevelType w:val="hybridMultilevel"/>
    <w:tmpl w:val="589CE056"/>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2F06C56"/>
    <w:multiLevelType w:val="hybridMultilevel"/>
    <w:tmpl w:val="069280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3C35FAA"/>
    <w:multiLevelType w:val="hybridMultilevel"/>
    <w:tmpl w:val="9614E3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4AF614DF"/>
    <w:multiLevelType w:val="hybridMultilevel"/>
    <w:tmpl w:val="194835F8"/>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7">
    <w:nsid w:val="530662E1"/>
    <w:multiLevelType w:val="singleLevel"/>
    <w:tmpl w:val="0409000F"/>
    <w:lvl w:ilvl="0">
      <w:start w:val="1"/>
      <w:numFmt w:val="decimal"/>
      <w:lvlText w:val="%1."/>
      <w:legacy w:legacy="1" w:legacySpace="0" w:legacyIndent="360"/>
      <w:lvlJc w:val="left"/>
      <w:pPr>
        <w:ind w:left="360" w:hanging="360"/>
      </w:pPr>
    </w:lvl>
  </w:abstractNum>
  <w:abstractNum w:abstractNumId="8">
    <w:nsid w:val="6B6A0422"/>
    <w:multiLevelType w:val="hybridMultilevel"/>
    <w:tmpl w:val="328C8E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69578E"/>
    <w:multiLevelType w:val="singleLevel"/>
    <w:tmpl w:val="0409000F"/>
    <w:lvl w:ilvl="0">
      <w:start w:val="1"/>
      <w:numFmt w:val="decimal"/>
      <w:lvlText w:val="%1."/>
      <w:legacy w:legacy="1" w:legacySpace="0" w:legacyIndent="360"/>
      <w:lvlJc w:val="left"/>
      <w:pPr>
        <w:ind w:left="360" w:hanging="360"/>
      </w:pPr>
    </w:lvl>
  </w:abstractNum>
  <w:abstractNum w:abstractNumId="10">
    <w:nsid w:val="6C787788"/>
    <w:multiLevelType w:val="singleLevel"/>
    <w:tmpl w:val="0409000F"/>
    <w:lvl w:ilvl="0">
      <w:start w:val="1"/>
      <w:numFmt w:val="decimal"/>
      <w:lvlText w:val="%1."/>
      <w:legacy w:legacy="1" w:legacySpace="0" w:legacyIndent="360"/>
      <w:lvlJc w:val="left"/>
      <w:pPr>
        <w:ind w:left="360" w:hanging="360"/>
      </w:pPr>
    </w:lvl>
  </w:abstractNum>
  <w:abstractNum w:abstractNumId="11">
    <w:nsid w:val="72882A8F"/>
    <w:multiLevelType w:val="hybridMultilevel"/>
    <w:tmpl w:val="EFCC1E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840286"/>
    <w:multiLevelType w:val="hybridMultilevel"/>
    <w:tmpl w:val="663C68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9364DC0"/>
    <w:multiLevelType w:val="hybridMultilevel"/>
    <w:tmpl w:val="8604AA08"/>
    <w:lvl w:ilvl="0">
      <w:start w:val="1"/>
      <w:numFmt w:val="upperRoman"/>
      <w:lvlText w:val="%1."/>
      <w:lvlJc w:val="left"/>
      <w:pPr>
        <w:ind w:left="990" w:hanging="72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4">
    <w:nsid w:val="79563B32"/>
    <w:multiLevelType w:val="hybridMultilevel"/>
    <w:tmpl w:val="8A6A68E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742DD6"/>
    <w:multiLevelType w:val="hybridMultilevel"/>
    <w:tmpl w:val="63AC3702"/>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2"/>
  </w:num>
  <w:num w:numId="5">
    <w:abstractNumId w:val="7"/>
  </w:num>
  <w:num w:numId="6">
    <w:abstractNumId w:val="8"/>
  </w:num>
  <w:num w:numId="7">
    <w:abstractNumId w:val="5"/>
  </w:num>
  <w:num w:numId="8">
    <w:abstractNumId w:val="3"/>
  </w:num>
  <w:num w:numId="9">
    <w:abstractNumId w:val="4"/>
  </w:num>
  <w:num w:numId="10">
    <w:abstractNumId w:val="14"/>
  </w:num>
  <w:num w:numId="11">
    <w:abstractNumId w:val="1"/>
  </w:num>
  <w:num w:numId="12">
    <w:abstractNumId w:val="11"/>
  </w:num>
  <w:num w:numId="13">
    <w:abstractNumId w:val="15"/>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144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52"/>
    <w:rsid w:val="00006E94"/>
    <w:rsid w:val="0005741E"/>
    <w:rsid w:val="000966E0"/>
    <w:rsid w:val="000D731A"/>
    <w:rsid w:val="000F358E"/>
    <w:rsid w:val="00120536"/>
    <w:rsid w:val="00175CD2"/>
    <w:rsid w:val="00180D38"/>
    <w:rsid w:val="0018685D"/>
    <w:rsid w:val="00191031"/>
    <w:rsid w:val="001F3F1B"/>
    <w:rsid w:val="002168EA"/>
    <w:rsid w:val="00240B43"/>
    <w:rsid w:val="002748FB"/>
    <w:rsid w:val="0029681B"/>
    <w:rsid w:val="002B3B0E"/>
    <w:rsid w:val="002C203F"/>
    <w:rsid w:val="00302797"/>
    <w:rsid w:val="0034167E"/>
    <w:rsid w:val="00375B25"/>
    <w:rsid w:val="003824A8"/>
    <w:rsid w:val="003D07E2"/>
    <w:rsid w:val="003D0A21"/>
    <w:rsid w:val="00401902"/>
    <w:rsid w:val="004060E0"/>
    <w:rsid w:val="00491831"/>
    <w:rsid w:val="004A0672"/>
    <w:rsid w:val="004C10D9"/>
    <w:rsid w:val="004D117A"/>
    <w:rsid w:val="004D2103"/>
    <w:rsid w:val="004E70F3"/>
    <w:rsid w:val="00556C84"/>
    <w:rsid w:val="005646CE"/>
    <w:rsid w:val="005665EF"/>
    <w:rsid w:val="00570604"/>
    <w:rsid w:val="00583F4D"/>
    <w:rsid w:val="005A5B66"/>
    <w:rsid w:val="005B5873"/>
    <w:rsid w:val="005D3B97"/>
    <w:rsid w:val="005E43D1"/>
    <w:rsid w:val="00616D93"/>
    <w:rsid w:val="00617B95"/>
    <w:rsid w:val="00620F05"/>
    <w:rsid w:val="00630AEA"/>
    <w:rsid w:val="006624A2"/>
    <w:rsid w:val="0067473C"/>
    <w:rsid w:val="006A589D"/>
    <w:rsid w:val="006A59AD"/>
    <w:rsid w:val="006B1BCE"/>
    <w:rsid w:val="006C6D89"/>
    <w:rsid w:val="006F1506"/>
    <w:rsid w:val="0072703F"/>
    <w:rsid w:val="00757100"/>
    <w:rsid w:val="00757DBC"/>
    <w:rsid w:val="0076274B"/>
    <w:rsid w:val="007961F8"/>
    <w:rsid w:val="0080169D"/>
    <w:rsid w:val="00810D45"/>
    <w:rsid w:val="00855243"/>
    <w:rsid w:val="00887382"/>
    <w:rsid w:val="008956F6"/>
    <w:rsid w:val="008B301A"/>
    <w:rsid w:val="008C438B"/>
    <w:rsid w:val="008D0E4D"/>
    <w:rsid w:val="00905D42"/>
    <w:rsid w:val="00940005"/>
    <w:rsid w:val="00950DB8"/>
    <w:rsid w:val="00963AC1"/>
    <w:rsid w:val="00980841"/>
    <w:rsid w:val="009B4B0A"/>
    <w:rsid w:val="009E2F74"/>
    <w:rsid w:val="009F320D"/>
    <w:rsid w:val="00A51D77"/>
    <w:rsid w:val="00A65EA6"/>
    <w:rsid w:val="00A777C1"/>
    <w:rsid w:val="00A967F0"/>
    <w:rsid w:val="00AA34B5"/>
    <w:rsid w:val="00AD4004"/>
    <w:rsid w:val="00AD77C3"/>
    <w:rsid w:val="00B01DB3"/>
    <w:rsid w:val="00B24252"/>
    <w:rsid w:val="00B63E22"/>
    <w:rsid w:val="00B87B5E"/>
    <w:rsid w:val="00B948C4"/>
    <w:rsid w:val="00BA2152"/>
    <w:rsid w:val="00BB75AE"/>
    <w:rsid w:val="00BE0B80"/>
    <w:rsid w:val="00C11675"/>
    <w:rsid w:val="00C2637E"/>
    <w:rsid w:val="00C34BB1"/>
    <w:rsid w:val="00C52A39"/>
    <w:rsid w:val="00C57D66"/>
    <w:rsid w:val="00CF5BFB"/>
    <w:rsid w:val="00D023FF"/>
    <w:rsid w:val="00D61D0C"/>
    <w:rsid w:val="00DA0D92"/>
    <w:rsid w:val="00DC6679"/>
    <w:rsid w:val="00DD0FA2"/>
    <w:rsid w:val="00E21AE7"/>
    <w:rsid w:val="00E264A6"/>
    <w:rsid w:val="00E3320F"/>
    <w:rsid w:val="00E404A4"/>
    <w:rsid w:val="00E45771"/>
    <w:rsid w:val="00E728F7"/>
    <w:rsid w:val="00E86BC0"/>
    <w:rsid w:val="00EC12E7"/>
    <w:rsid w:val="00EC219E"/>
    <w:rsid w:val="00EF52DB"/>
    <w:rsid w:val="00EF6C44"/>
    <w:rsid w:val="00F2083A"/>
    <w:rsid w:val="00F250E7"/>
    <w:rsid w:val="00F476C8"/>
    <w:rsid w:val="00F736FA"/>
    <w:rsid w:val="00F80A24"/>
    <w:rsid w:val="00F82E12"/>
    <w:rsid w:val="00FA491F"/>
    <w:rsid w:val="00FC34DC"/>
    <w:rsid w:val="00FC3C26"/>
    <w:rsid w:val="00FD164A"/>
    <w:rsid w:val="00FF1A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857D468-BDF9-4061-9CCE-1AECB621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43"/>
  </w:style>
  <w:style w:type="paragraph" w:styleId="Heading1">
    <w:name w:val="heading 1"/>
    <w:basedOn w:val="Normal"/>
    <w:next w:val="Normal"/>
    <w:qFormat/>
    <w:rsid w:val="00240B43"/>
    <w:pPr>
      <w:keepNext/>
      <w:outlineLvl w:val="0"/>
    </w:pPr>
    <w:rPr>
      <w:b/>
      <w:smallCaps/>
    </w:rPr>
  </w:style>
  <w:style w:type="paragraph" w:styleId="Heading2">
    <w:name w:val="heading 2"/>
    <w:basedOn w:val="Normal"/>
    <w:next w:val="Normal"/>
    <w:qFormat/>
    <w:rsid w:val="00240B43"/>
    <w:pPr>
      <w:keepNext/>
      <w:outlineLvl w:val="1"/>
    </w:pPr>
    <w:rPr>
      <w:u w:val="single"/>
    </w:rPr>
  </w:style>
  <w:style w:type="paragraph" w:styleId="Heading3">
    <w:name w:val="heading 3"/>
    <w:basedOn w:val="Normal"/>
    <w:next w:val="Normal"/>
    <w:qFormat/>
    <w:rsid w:val="00240B4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2"/>
    </w:pPr>
    <w:rPr>
      <w:b/>
      <w:smallCaps/>
    </w:rPr>
  </w:style>
  <w:style w:type="paragraph" w:styleId="Heading4">
    <w:name w:val="heading 4"/>
    <w:basedOn w:val="Normal"/>
    <w:next w:val="Normal"/>
    <w:qFormat/>
    <w:rsid w:val="00240B43"/>
    <w:pPr>
      <w:keepNext/>
      <w:ind w:hanging="360"/>
      <w:outlineLvl w:val="3"/>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0B43"/>
    <w:pPr>
      <w:suppressAutoHyphens/>
      <w:ind w:left="432" w:hanging="432"/>
    </w:pPr>
    <w:rPr>
      <w:i/>
    </w:rPr>
  </w:style>
  <w:style w:type="paragraph" w:styleId="BodyText">
    <w:name w:val="Body Text"/>
    <w:basedOn w:val="Normal"/>
    <w:rsid w:val="00240B43"/>
    <w:rPr>
      <w:i/>
    </w:rPr>
  </w:style>
  <w:style w:type="paragraph" w:styleId="Title">
    <w:name w:val="Title"/>
    <w:basedOn w:val="Normal"/>
    <w:qFormat/>
    <w:rsid w:val="00240B43"/>
    <w:pPr>
      <w:jc w:val="center"/>
    </w:pPr>
    <w:rPr>
      <w:sz w:val="36"/>
    </w:rPr>
  </w:style>
  <w:style w:type="paragraph" w:styleId="Header">
    <w:name w:val="header"/>
    <w:basedOn w:val="Normal"/>
    <w:rsid w:val="00240B43"/>
    <w:pPr>
      <w:tabs>
        <w:tab w:val="center" w:pos="4320"/>
        <w:tab w:val="right" w:pos="8640"/>
      </w:tabs>
    </w:pPr>
  </w:style>
  <w:style w:type="paragraph" w:styleId="Footer">
    <w:name w:val="footer"/>
    <w:basedOn w:val="Normal"/>
    <w:rsid w:val="00240B43"/>
    <w:pPr>
      <w:tabs>
        <w:tab w:val="center" w:pos="4320"/>
        <w:tab w:val="right" w:pos="8640"/>
      </w:tabs>
    </w:pPr>
  </w:style>
  <w:style w:type="character" w:styleId="PageNumber">
    <w:name w:val="page number"/>
    <w:basedOn w:val="DefaultParagraphFont"/>
    <w:rsid w:val="00240B43"/>
  </w:style>
  <w:style w:type="paragraph" w:styleId="BodyTextIndent2">
    <w:name w:val="Body Text Indent 2"/>
    <w:basedOn w:val="Normal"/>
    <w:rsid w:val="00240B43"/>
    <w:pPr>
      <w:suppressAutoHyphens/>
      <w:ind w:left="1008" w:hanging="1008"/>
    </w:pPr>
  </w:style>
  <w:style w:type="paragraph" w:customStyle="1" w:styleId="BodyText21">
    <w:name w:val="Body Text 21"/>
    <w:basedOn w:val="Normal"/>
    <w:rsid w:val="00240B43"/>
    <w:pPr>
      <w:jc w:val="both"/>
    </w:pPr>
  </w:style>
  <w:style w:type="paragraph" w:styleId="BalloonText">
    <w:name w:val="Balloon Text"/>
    <w:basedOn w:val="Normal"/>
    <w:link w:val="BalloonTextChar"/>
    <w:rsid w:val="00757100"/>
    <w:rPr>
      <w:rFonts w:ascii="Tahoma" w:hAnsi="Tahoma" w:cs="Tahoma"/>
      <w:sz w:val="16"/>
      <w:szCs w:val="16"/>
    </w:rPr>
  </w:style>
  <w:style w:type="character" w:customStyle="1" w:styleId="BalloonTextChar">
    <w:name w:val="Balloon Text Char"/>
    <w:basedOn w:val="DefaultParagraphFont"/>
    <w:link w:val="BalloonText"/>
    <w:rsid w:val="00757100"/>
    <w:rPr>
      <w:rFonts w:ascii="Tahoma" w:hAnsi="Tahoma" w:cs="Tahoma"/>
      <w:sz w:val="16"/>
      <w:szCs w:val="16"/>
    </w:rPr>
  </w:style>
  <w:style w:type="paragraph" w:styleId="ListParagraph">
    <w:name w:val="List Paragraph"/>
    <w:basedOn w:val="Normal"/>
    <w:uiPriority w:val="34"/>
    <w:qFormat/>
    <w:rsid w:val="002748FB"/>
    <w:pPr>
      <w:ind w:left="720"/>
      <w:contextualSpacing/>
    </w:pPr>
  </w:style>
  <w:style w:type="paragraph" w:styleId="Revision">
    <w:name w:val="Revision"/>
    <w:hidden/>
    <w:uiPriority w:val="99"/>
    <w:semiHidden/>
    <w:rsid w:val="0056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BA18B3DECBC354F8E6DF90C340D5AAB" ma:contentTypeVersion="0" ma:contentTypeDescription="Create a new document." ma:contentTypeScope="" ma:versionID="7b4c46ca47823a0c91b33078c73d1537">
  <xsd:schema xmlns:xsd="http://www.w3.org/2001/XMLSchema" xmlns:xs="http://www.w3.org/2001/XMLSchema" xmlns:p="http://schemas.microsoft.com/office/2006/metadata/properties" xmlns:ns2="c34ec760-22fc-4b91-8512-dc7f17bfb616" targetNamespace="http://schemas.microsoft.com/office/2006/metadata/properties" ma:root="true" ma:fieldsID="311d1951767c0c8fcaa036b9c98b1c94" ns2:_="">
    <xsd:import namespace="c34ec760-22fc-4b91-8512-dc7f17bfb6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ec760-22fc-4b91-8512-dc7f17bfb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BCCF4-67E1-42B9-864C-A3299643D58D}">
  <ds:schemaRefs>
    <ds:schemaRef ds:uri="http://schemas.microsoft.com/sharepoint/v3/contenttype/forms"/>
  </ds:schemaRefs>
</ds:datastoreItem>
</file>

<file path=customXml/itemProps2.xml><?xml version="1.0" encoding="utf-8"?>
<ds:datastoreItem xmlns:ds="http://schemas.openxmlformats.org/officeDocument/2006/customXml" ds:itemID="{927C6DC8-2F07-41CA-B6A5-E97134137765}">
  <ds:schemaRefs>
    <ds:schemaRef ds:uri="http://schemas.microsoft.com/sharepoint/events"/>
  </ds:schemaRefs>
</ds:datastoreItem>
</file>

<file path=customXml/itemProps3.xml><?xml version="1.0" encoding="utf-8"?>
<ds:datastoreItem xmlns:ds="http://schemas.openxmlformats.org/officeDocument/2006/customXml" ds:itemID="{EFA0B206-05B6-4E03-A494-C64B2550B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ec760-22fc-4b91-8512-dc7f17bfb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7ADB2-47A2-48F9-A329-C5EEB1F5A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investpolicy-vs12</vt:lpstr>
    </vt:vector>
  </TitlesOfParts>
  <Company>Vining - Sparks IBG, LP</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investpolicy-vs12</dc:title>
  <dc:creator>Valued Gateway 2000 Customer</dc:creator>
  <cp:lastModifiedBy>Reber, James (Memphis)</cp:lastModifiedBy>
  <cp:revision>2</cp:revision>
  <cp:lastPrinted>2012-11-19T21:45:00Z</cp:lastPrinted>
  <dcterms:created xsi:type="dcterms:W3CDTF">2022-05-31T19:43:00Z</dcterms:created>
  <dcterms:modified xsi:type="dcterms:W3CDTF">2022-05-31T19:43:00Z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0x010100EBA18B3DECBC354F8E6DF90C340D5AAB</vt:lpwstr>
  </property>
</Properties>
</file>